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68845" w14:textId="77777777" w:rsidR="00EB7707" w:rsidRPr="00BB50C2" w:rsidRDefault="00EB7707" w:rsidP="00BB50C2"/>
    <w:p w14:paraId="20968594" w14:textId="15B95EF2" w:rsidR="00152AA2" w:rsidRPr="008D1793" w:rsidRDefault="00534BF3" w:rsidP="00FC52E4">
      <w:pPr>
        <w:pStyle w:val="Heading1"/>
        <w:rPr>
          <w:rFonts w:ascii="Arial" w:eastAsiaTheme="minorEastAsia" w:hAnsi="Arial"/>
          <w:caps w:val="0"/>
          <w:sz w:val="52"/>
          <w:szCs w:val="40"/>
          <w:lang w:eastAsia="zh-CN"/>
        </w:rPr>
      </w:pPr>
      <w:r w:rsidRPr="008D1793">
        <w:rPr>
          <w:rFonts w:ascii="Arial" w:eastAsiaTheme="minorEastAsia" w:hAnsi="Arial"/>
          <w:caps w:val="0"/>
          <w:sz w:val="52"/>
          <w:szCs w:val="40"/>
          <w:lang w:eastAsia="zh-CN"/>
        </w:rPr>
        <w:t>TECHNICAL UPDATE</w:t>
      </w:r>
    </w:p>
    <w:p w14:paraId="498F2F52" w14:textId="6A114EB5" w:rsidR="005F7ADF" w:rsidRPr="00BB50C2" w:rsidRDefault="00534BF3" w:rsidP="00FC52E4">
      <w:pPr>
        <w:pStyle w:val="Heading1"/>
      </w:pPr>
      <w:r w:rsidRPr="00BB50C2">
        <w:t xml:space="preserve">A SUMMARY OF CHANGES TO FINANCIAL REPORTING REQUIREMENTS APPLICABLE FOR YEARS ENDING </w:t>
      </w:r>
      <w:r w:rsidR="00EB58CA">
        <w:br/>
      </w:r>
      <w:r w:rsidR="00F70A1F" w:rsidRPr="00BB50C2">
        <w:t xml:space="preserve">31 DECEMBER </w:t>
      </w:r>
      <w:r w:rsidR="008D1793" w:rsidRPr="00BB50C2">
        <w:t>202</w:t>
      </w:r>
      <w:r w:rsidR="008D1793">
        <w:t>5</w:t>
      </w:r>
    </w:p>
    <w:p w14:paraId="17882671" w14:textId="77777777" w:rsidR="00534BF3" w:rsidRPr="00BB50C2" w:rsidRDefault="00534BF3" w:rsidP="00BB50C2"/>
    <w:p w14:paraId="34E2A3D2" w14:textId="470E3536" w:rsidR="0018133F" w:rsidRPr="00B92015" w:rsidRDefault="006C35DA" w:rsidP="008F5869">
      <w:pPr>
        <w:pStyle w:val="subheading1"/>
        <w:sectPr w:rsidR="0018133F" w:rsidRPr="00B92015" w:rsidSect="00E43AB5">
          <w:headerReference w:type="even" r:id="rId14"/>
          <w:headerReference w:type="default" r:id="rId15"/>
          <w:footerReference w:type="even" r:id="rId16"/>
          <w:footerReference w:type="default" r:id="rId17"/>
          <w:headerReference w:type="first" r:id="rId18"/>
          <w:footerReference w:type="first" r:id="rId19"/>
          <w:pgSz w:w="11906" w:h="16838" w:code="9"/>
          <w:pgMar w:top="2835" w:right="1418" w:bottom="1985" w:left="1418" w:header="709" w:footer="851" w:gutter="0"/>
          <w:pgNumType w:start="0"/>
          <w:cols w:space="708"/>
          <w:titlePg/>
          <w:docGrid w:linePitch="360"/>
        </w:sectPr>
      </w:pPr>
      <w:r>
        <w:t xml:space="preserve">OCTOBER </w:t>
      </w:r>
      <w:r w:rsidR="008D1793">
        <w:t>2025</w:t>
      </w:r>
    </w:p>
    <w:p w14:paraId="00CC4A70" w14:textId="21686BE3" w:rsidR="00E6540F" w:rsidRPr="00BB50C2" w:rsidRDefault="00E6540F" w:rsidP="00BB50C2"/>
    <w:p w14:paraId="32F1B0C8" w14:textId="6266460B" w:rsidR="00534BF3" w:rsidRPr="00BB50C2" w:rsidRDefault="00534BF3" w:rsidP="00B92015">
      <w:pPr>
        <w:pStyle w:val="Body1"/>
      </w:pPr>
      <w:r w:rsidRPr="00BB50C2">
        <w:t xml:space="preserve">This Technical Update provides you with an overview of </w:t>
      </w:r>
      <w:r w:rsidR="00C01597" w:rsidRPr="00BB50C2">
        <w:t>IFRS</w:t>
      </w:r>
      <w:r w:rsidR="00655370">
        <w:t xml:space="preserve"> Accounting Standards</w:t>
      </w:r>
      <w:r w:rsidR="00C01597" w:rsidRPr="00BB50C2">
        <w:t xml:space="preserve">, </w:t>
      </w:r>
      <w:r w:rsidR="006718D9" w:rsidRPr="00BB50C2">
        <w:t xml:space="preserve">IFRIC </w:t>
      </w:r>
      <w:r w:rsidR="00C01597" w:rsidRPr="00BB50C2">
        <w:t>Interpretations</w:t>
      </w:r>
      <w:r w:rsidRPr="00BB50C2">
        <w:t xml:space="preserve"> and IFRIC Agenda decisions issued up </w:t>
      </w:r>
      <w:r w:rsidRPr="00075E4C">
        <w:t xml:space="preserve">to </w:t>
      </w:r>
      <w:r w:rsidR="00AE1361">
        <w:t xml:space="preserve">31 October </w:t>
      </w:r>
      <w:r w:rsidR="006C35DA">
        <w:t>2025</w:t>
      </w:r>
      <w:r w:rsidRPr="00075E4C">
        <w:t>.</w:t>
      </w:r>
      <w:r w:rsidRPr="00BB50C2">
        <w:t xml:space="preserve">  It outlines:</w:t>
      </w:r>
    </w:p>
    <w:p w14:paraId="7D17C830" w14:textId="030DC766" w:rsidR="00534BF3" w:rsidRPr="00BB50C2" w:rsidRDefault="006718D9" w:rsidP="001767CD">
      <w:pPr>
        <w:pStyle w:val="Bullet"/>
      </w:pPr>
      <w:r w:rsidRPr="00BB50C2">
        <w:t xml:space="preserve">New </w:t>
      </w:r>
      <w:r w:rsidR="0040121A">
        <w:t xml:space="preserve">IFRS </w:t>
      </w:r>
      <w:r w:rsidR="0058596C">
        <w:t>Accounting</w:t>
      </w:r>
      <w:r w:rsidRPr="00BB50C2">
        <w:t xml:space="preserve"> Standards, amendments and IFRIC interpretations </w:t>
      </w:r>
      <w:r w:rsidR="00534BF3" w:rsidRPr="00BB50C2">
        <w:t xml:space="preserve">mandatorily applicable for the first time for years ended </w:t>
      </w:r>
      <w:r w:rsidR="00F70A1F" w:rsidRPr="00BB50C2">
        <w:t xml:space="preserve">31 December </w:t>
      </w:r>
      <w:r w:rsidR="00D37D30" w:rsidRPr="00BB50C2">
        <w:t>202</w:t>
      </w:r>
      <w:r w:rsidR="00D37D30">
        <w:t xml:space="preserve">5 </w:t>
      </w:r>
      <w:r w:rsidR="001767CD">
        <w:t xml:space="preserve">required to be applied </w:t>
      </w:r>
      <w:proofErr w:type="gramStart"/>
      <w:r w:rsidR="001767CD">
        <w:t>in order to</w:t>
      </w:r>
      <w:proofErr w:type="gramEnd"/>
      <w:r w:rsidR="001767CD">
        <w:t xml:space="preserve"> claim compliance with IFRS </w:t>
      </w:r>
      <w:r w:rsidR="0058596C">
        <w:t xml:space="preserve">Accounting </w:t>
      </w:r>
      <w:proofErr w:type="gramStart"/>
      <w:r w:rsidR="001767CD">
        <w:t>Standards</w:t>
      </w:r>
      <w:r w:rsidR="00534BF3" w:rsidRPr="00BB50C2">
        <w:t>;</w:t>
      </w:r>
      <w:proofErr w:type="gramEnd"/>
    </w:p>
    <w:p w14:paraId="1467C9FC" w14:textId="42A73759" w:rsidR="00534BF3" w:rsidRPr="00BB50C2" w:rsidRDefault="0077703E" w:rsidP="001767CD">
      <w:pPr>
        <w:pStyle w:val="Bullet"/>
      </w:pPr>
      <w:r>
        <w:t>IFRS Accounting</w:t>
      </w:r>
      <w:r w:rsidR="006718D9" w:rsidRPr="00BB50C2">
        <w:t xml:space="preserve"> Standards, amendments and IFRIC interpretations </w:t>
      </w:r>
      <w:r w:rsidR="00534BF3" w:rsidRPr="00BB50C2">
        <w:t xml:space="preserve">for early adoption for years ended </w:t>
      </w:r>
      <w:r w:rsidR="00F70A1F" w:rsidRPr="00BB50C2">
        <w:t>31 December</w:t>
      </w:r>
      <w:r w:rsidR="00534BF3" w:rsidRPr="00BB50C2">
        <w:t xml:space="preserve"> </w:t>
      </w:r>
      <w:r w:rsidR="00D37D30" w:rsidRPr="00BB50C2">
        <w:t>202</w:t>
      </w:r>
      <w:r w:rsidR="00D37D30">
        <w:t>5</w:t>
      </w:r>
      <w:r w:rsidR="00534BF3" w:rsidRPr="00BB50C2">
        <w:t>; and</w:t>
      </w:r>
    </w:p>
    <w:p w14:paraId="6CBC756D" w14:textId="6B9C931C" w:rsidR="00534BF3" w:rsidRPr="00BB50C2" w:rsidRDefault="00534BF3" w:rsidP="001767CD">
      <w:pPr>
        <w:pStyle w:val="Bullet"/>
      </w:pPr>
      <w:r w:rsidRPr="00BB50C2">
        <w:t xml:space="preserve">IFRIC Agenda decisions made </w:t>
      </w:r>
      <w:r w:rsidR="00536DFB" w:rsidRPr="00BB50C2">
        <w:t>since November</w:t>
      </w:r>
      <w:r w:rsidR="00FB2220" w:rsidRPr="00BB50C2">
        <w:t xml:space="preserve"> </w:t>
      </w:r>
      <w:r w:rsidR="00D37D30" w:rsidRPr="00BB50C2">
        <w:t>202</w:t>
      </w:r>
      <w:r w:rsidR="00D37D30">
        <w:t>4</w:t>
      </w:r>
    </w:p>
    <w:p w14:paraId="14F1CF3C" w14:textId="637AADC1" w:rsidR="00534BF3" w:rsidRPr="00BB50C2" w:rsidRDefault="00534BF3" w:rsidP="00B92015">
      <w:pPr>
        <w:pStyle w:val="Body1"/>
      </w:pPr>
      <w:r w:rsidRPr="00BB50C2">
        <w:t xml:space="preserve">In addition to ensuring that your </w:t>
      </w:r>
      <w:proofErr w:type="spellStart"/>
      <w:r w:rsidR="00D37D30">
        <w:t>o</w:t>
      </w:r>
      <w:r w:rsidR="00D37D30" w:rsidRPr="00BB50C2">
        <w:t>rganisation</w:t>
      </w:r>
      <w:proofErr w:type="spellEnd"/>
      <w:r w:rsidR="00D37D30" w:rsidRPr="00BB50C2">
        <w:t xml:space="preserve"> </w:t>
      </w:r>
      <w:r w:rsidRPr="00BB50C2">
        <w:t xml:space="preserve">has appropriately applied all the new relevant standards in their financial report, this publication can help you to meet your disclosure obligations under </w:t>
      </w:r>
      <w:r w:rsidR="006718D9" w:rsidRPr="00BB50C2">
        <w:t>IAS 8</w:t>
      </w:r>
      <w:r w:rsidRPr="00BB50C2">
        <w:t xml:space="preserve"> Accounting Policies, Change in Accounting Estimates and Errors.   </w:t>
      </w:r>
      <w:proofErr w:type="spellStart"/>
      <w:r w:rsidRPr="00BB50C2">
        <w:t>Organisations</w:t>
      </w:r>
      <w:proofErr w:type="spellEnd"/>
      <w:r w:rsidRPr="00BB50C2">
        <w:t xml:space="preserve"> are required to disclose the:</w:t>
      </w:r>
    </w:p>
    <w:p w14:paraId="1BA7F55C" w14:textId="77777777" w:rsidR="00534BF3" w:rsidRPr="00BB50C2" w:rsidRDefault="00534BF3" w:rsidP="001767CD">
      <w:pPr>
        <w:pStyle w:val="Bullet"/>
      </w:pPr>
      <w:r w:rsidRPr="00BB50C2">
        <w:t>impact of the initial application of new accounting standards</w:t>
      </w:r>
    </w:p>
    <w:p w14:paraId="157C859E" w14:textId="77777777" w:rsidR="00534BF3" w:rsidRPr="00BB50C2" w:rsidRDefault="00534BF3" w:rsidP="001767CD">
      <w:pPr>
        <w:pStyle w:val="Bullet"/>
      </w:pPr>
      <w:r w:rsidRPr="00BB50C2">
        <w:t xml:space="preserve">potential impact of standards issued but not yet effective </w:t>
      </w:r>
    </w:p>
    <w:p w14:paraId="651EC4E7" w14:textId="5B8894D1" w:rsidR="00534BF3" w:rsidRPr="001622E9" w:rsidRDefault="001622E9" w:rsidP="001622E9">
      <w:pPr>
        <w:pStyle w:val="Body1"/>
      </w:pPr>
      <w:r>
        <w:t xml:space="preserve">This Technical Update does not </w:t>
      </w:r>
      <w:r w:rsidR="0077703E">
        <w:t xml:space="preserve">include the IFRS Sustainability Standards issued by the International Sustainability Standards Board (ISSB).  Compliance with the IFRS Sustainability Standards is not required </w:t>
      </w:r>
      <w:proofErr w:type="gramStart"/>
      <w:r w:rsidR="0077703E">
        <w:t>in order to</w:t>
      </w:r>
      <w:proofErr w:type="gramEnd"/>
      <w:r w:rsidR="0077703E">
        <w:t xml:space="preserve"> claim that the Financial Statements </w:t>
      </w:r>
      <w:proofErr w:type="gramStart"/>
      <w:r w:rsidR="0077703E">
        <w:t>are in compliance with</w:t>
      </w:r>
      <w:proofErr w:type="gramEnd"/>
      <w:r w:rsidR="0077703E">
        <w:t xml:space="preserve"> IFRS Accounting Standards.  </w:t>
      </w:r>
    </w:p>
    <w:p w14:paraId="2357703F" w14:textId="7468B175" w:rsidR="008E6BE6" w:rsidRPr="00BB50C2" w:rsidRDefault="008E6BE6" w:rsidP="00B92015">
      <w:pPr>
        <w:pStyle w:val="Body1"/>
        <w:pBdr>
          <w:top w:val="single" w:sz="4" w:space="1" w:color="00AEEF"/>
          <w:left w:val="single" w:sz="4" w:space="4" w:color="00AEEF"/>
          <w:bottom w:val="single" w:sz="4" w:space="1" w:color="00AEEF"/>
          <w:right w:val="single" w:sz="4" w:space="4" w:color="00AEEF"/>
        </w:pBdr>
        <w:shd w:val="clear" w:color="auto" w:fill="B9EDFF"/>
      </w:pPr>
      <w:r w:rsidRPr="00BB50C2">
        <w:t xml:space="preserve">Those new standards and amendments </w:t>
      </w:r>
      <w:r w:rsidR="002E78D8" w:rsidRPr="00BB50C2">
        <w:t xml:space="preserve">that are shaded, represent those new standards and amendments that have been issued since 1 November </w:t>
      </w:r>
      <w:r w:rsidR="001F08C0" w:rsidRPr="00BB50C2">
        <w:t>202</w:t>
      </w:r>
      <w:r w:rsidR="001F08C0">
        <w:t>4</w:t>
      </w:r>
      <w:r w:rsidR="002E78D8" w:rsidRPr="00BB50C2">
        <w:t xml:space="preserve">.   </w:t>
      </w:r>
    </w:p>
    <w:p w14:paraId="2630A339" w14:textId="77777777" w:rsidR="00534BF3" w:rsidRPr="00BB50C2" w:rsidRDefault="00534BF3" w:rsidP="00BB50C2"/>
    <w:p w14:paraId="340ECCEA" w14:textId="32F27D0D" w:rsidR="00534BF3" w:rsidRPr="00BB50C2" w:rsidRDefault="00534BF3" w:rsidP="00BB50C2">
      <w:r w:rsidRPr="00BB50C2">
        <w:br w:type="page"/>
      </w:r>
    </w:p>
    <w:p w14:paraId="47E673B0" w14:textId="6F6CC85E" w:rsidR="00534BF3" w:rsidRPr="00BB50C2" w:rsidRDefault="00534BF3" w:rsidP="00FC52E4">
      <w:pPr>
        <w:pStyle w:val="Heading1"/>
      </w:pPr>
      <w:r w:rsidRPr="00BB50C2">
        <w:lastRenderedPageBreak/>
        <w:t xml:space="preserve">STANDARDS APPLICABLE FOR THE FIRST TIME FOR </w:t>
      </w:r>
      <w:r w:rsidR="00F70A1F" w:rsidRPr="00BB50C2">
        <w:t xml:space="preserve">31 </w:t>
      </w:r>
      <w:r w:rsidR="00F11BC5" w:rsidRPr="00BB50C2">
        <w:t>DECEMBER</w:t>
      </w:r>
      <w:r w:rsidR="00F70A1F" w:rsidRPr="00BB50C2">
        <w:t xml:space="preserve"> </w:t>
      </w:r>
      <w:r w:rsidR="001F08C0" w:rsidRPr="00BB50C2">
        <w:t>202</w:t>
      </w:r>
      <w:r w:rsidR="001F08C0">
        <w:t>5</w:t>
      </w:r>
      <w:r w:rsidR="001F08C0" w:rsidRPr="00BB50C2">
        <w:t xml:space="preserve"> </w:t>
      </w:r>
      <w:r w:rsidRPr="00BB50C2">
        <w:t xml:space="preserve">YEAR ENDS </w:t>
      </w:r>
    </w:p>
    <w:p w14:paraId="6EF0F144" w14:textId="54E8AF7C" w:rsidR="00534BF3" w:rsidRPr="00BB50C2" w:rsidRDefault="00534BF3" w:rsidP="00B92015">
      <w:pPr>
        <w:pStyle w:val="Body1"/>
      </w:pPr>
      <w:r w:rsidRPr="00BB50C2">
        <w:t xml:space="preserve">The following </w:t>
      </w:r>
      <w:r w:rsidR="002776AA" w:rsidRPr="00BB50C2">
        <w:t>IFRS</w:t>
      </w:r>
      <w:r w:rsidR="00094936" w:rsidRPr="00BB50C2">
        <w:t>s</w:t>
      </w:r>
      <w:r w:rsidR="002776AA" w:rsidRPr="00BB50C2">
        <w:t xml:space="preserve"> and amendments</w:t>
      </w:r>
      <w:r w:rsidRPr="00BB50C2">
        <w:t xml:space="preserve"> are mandatorily applicable for the first time for </w:t>
      </w:r>
      <w:r w:rsidR="00F70A1F" w:rsidRPr="00BB50C2">
        <w:t>31 December</w:t>
      </w:r>
      <w:r w:rsidRPr="00BB50C2">
        <w:t xml:space="preserve"> </w:t>
      </w:r>
      <w:r w:rsidR="001F08C0" w:rsidRPr="00BB50C2">
        <w:t>202</w:t>
      </w:r>
      <w:r w:rsidR="001F08C0">
        <w:t>5</w:t>
      </w:r>
      <w:r w:rsidR="009B01C4">
        <w:t xml:space="preserve"> </w:t>
      </w:r>
      <w:r w:rsidRPr="00BB50C2">
        <w:t xml:space="preserve">year-ends: </w:t>
      </w:r>
    </w:p>
    <w:tbl>
      <w:tblPr>
        <w:tblStyle w:val="ListTable3-Accent5"/>
        <w:tblW w:w="9498" w:type="dxa"/>
        <w:tblInd w:w="-5" w:type="dxa"/>
        <w:tblLayout w:type="fixed"/>
        <w:tblLook w:val="0420" w:firstRow="1" w:lastRow="0" w:firstColumn="0" w:lastColumn="0" w:noHBand="0" w:noVBand="1"/>
      </w:tblPr>
      <w:tblGrid>
        <w:gridCol w:w="1701"/>
        <w:gridCol w:w="5813"/>
        <w:gridCol w:w="1984"/>
      </w:tblGrid>
      <w:tr w:rsidR="00581B80" w:rsidRPr="00753571" w14:paraId="60FE46AB" w14:textId="77777777" w:rsidTr="000B5668">
        <w:trPr>
          <w:cnfStyle w:val="100000000000" w:firstRow="1" w:lastRow="0" w:firstColumn="0" w:lastColumn="0" w:oddVBand="0" w:evenVBand="0" w:oddHBand="0" w:evenHBand="0" w:firstRowFirstColumn="0" w:firstRowLastColumn="0" w:lastRowFirstColumn="0" w:lastRowLastColumn="0"/>
          <w:trHeight w:val="1039"/>
          <w:tblHeader/>
        </w:trPr>
        <w:tc>
          <w:tcPr>
            <w:tcW w:w="1701" w:type="dxa"/>
            <w:hideMark/>
          </w:tcPr>
          <w:p w14:paraId="2C649EBD" w14:textId="77777777" w:rsidR="00534BF3" w:rsidRPr="00753571" w:rsidRDefault="00534BF3" w:rsidP="00753571">
            <w:pPr>
              <w:pStyle w:val="Heading2"/>
              <w:rPr>
                <w:b w:val="0"/>
                <w:bCs w:val="0"/>
              </w:rPr>
            </w:pPr>
            <w:r w:rsidRPr="00753571">
              <w:rPr>
                <w:b w:val="0"/>
                <w:bCs w:val="0"/>
              </w:rPr>
              <w:t>REFERENCE</w:t>
            </w:r>
          </w:p>
        </w:tc>
        <w:tc>
          <w:tcPr>
            <w:tcW w:w="5813" w:type="dxa"/>
            <w:hideMark/>
          </w:tcPr>
          <w:p w14:paraId="2B2A74D4" w14:textId="77777777" w:rsidR="00534BF3" w:rsidRPr="00753571" w:rsidRDefault="00534BF3" w:rsidP="00753571">
            <w:pPr>
              <w:pStyle w:val="Heading2"/>
              <w:rPr>
                <w:b w:val="0"/>
                <w:bCs w:val="0"/>
              </w:rPr>
            </w:pPr>
            <w:r w:rsidRPr="00753571">
              <w:rPr>
                <w:b w:val="0"/>
                <w:bCs w:val="0"/>
              </w:rPr>
              <w:t>TITLE</w:t>
            </w:r>
          </w:p>
        </w:tc>
        <w:tc>
          <w:tcPr>
            <w:tcW w:w="1984" w:type="dxa"/>
            <w:hideMark/>
          </w:tcPr>
          <w:p w14:paraId="16D0BD63" w14:textId="77777777" w:rsidR="00534BF3" w:rsidRPr="00753571" w:rsidRDefault="00534BF3" w:rsidP="00753571">
            <w:pPr>
              <w:pStyle w:val="Heading2"/>
              <w:rPr>
                <w:b w:val="0"/>
                <w:bCs w:val="0"/>
              </w:rPr>
            </w:pPr>
            <w:r w:rsidRPr="00753571">
              <w:rPr>
                <w:b w:val="0"/>
                <w:bCs w:val="0"/>
              </w:rPr>
              <w:t>APPLICABLE FOR REPORTING PERIODS BEGINNING ON OR AFTER</w:t>
            </w:r>
          </w:p>
        </w:tc>
      </w:tr>
      <w:tr w:rsidR="000B5668" w:rsidRPr="00BB50C2" w14:paraId="265A4755" w14:textId="77777777" w:rsidTr="000B566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vAlign w:val="top"/>
          </w:tcPr>
          <w:p w14:paraId="05E24754" w14:textId="77777777" w:rsidR="000B5668" w:rsidRPr="008F5869" w:rsidRDefault="000B5668" w:rsidP="000429B8">
            <w:pPr>
              <w:pStyle w:val="Heading2"/>
              <w:rPr>
                <w:b w:val="0"/>
                <w:bCs w:val="0"/>
              </w:rPr>
            </w:pPr>
            <w:r w:rsidRPr="008F5869">
              <w:rPr>
                <w:b w:val="0"/>
                <w:bCs w:val="0"/>
              </w:rPr>
              <w:t>Amendments to IAS 21</w:t>
            </w:r>
          </w:p>
        </w:tc>
        <w:tc>
          <w:tcPr>
            <w:tcW w:w="5813" w:type="dxa"/>
            <w:vAlign w:val="top"/>
          </w:tcPr>
          <w:p w14:paraId="54D722DA" w14:textId="77777777" w:rsidR="000B5668" w:rsidRPr="00BB50C2" w:rsidRDefault="000B5668" w:rsidP="000429B8">
            <w:pPr>
              <w:pStyle w:val="Heading2"/>
              <w:cnfStyle w:val="000000100000" w:firstRow="0" w:lastRow="0" w:firstColumn="0" w:lastColumn="0" w:oddVBand="0" w:evenVBand="0" w:oddHBand="1" w:evenHBand="0" w:firstRowFirstColumn="0" w:firstRowLastColumn="0" w:lastRowFirstColumn="0" w:lastRowLastColumn="0"/>
              <w:rPr>
                <w:lang w:val="en-US"/>
              </w:rPr>
            </w:pPr>
            <w:r w:rsidRPr="00BB50C2">
              <w:rPr>
                <w:lang w:val="en-US"/>
              </w:rPr>
              <w:t>Lack of Exchangeability</w:t>
            </w:r>
          </w:p>
          <w:p w14:paraId="5C60EE05" w14:textId="77777777" w:rsidR="000B5668" w:rsidRPr="00BB50C2" w:rsidRDefault="000B5668" w:rsidP="000429B8">
            <w:pPr>
              <w:pStyle w:val="Body1"/>
              <w:cnfStyle w:val="000000100000" w:firstRow="0" w:lastRow="0" w:firstColumn="0" w:lastColumn="0" w:oddVBand="0" w:evenVBand="0" w:oddHBand="1" w:evenHBand="0" w:firstRowFirstColumn="0" w:firstRowLastColumn="0" w:lastRowFirstColumn="0" w:lastRowLastColumn="0"/>
            </w:pPr>
            <w:r w:rsidRPr="00BB50C2">
              <w:t>This amendment updates IAS 21 to require entities to apply a consistent approach in assessing whether a currency is exchangeable and how to estimate the exchange rate if it is not.  Additional disclosures are also required around how you estimate the exchange rate.  There are also consequential amendments to IFRS 1.</w:t>
            </w:r>
          </w:p>
          <w:p w14:paraId="0D981414" w14:textId="77777777" w:rsidR="000B5668" w:rsidRPr="00BB50C2" w:rsidRDefault="000B5668" w:rsidP="000429B8">
            <w:pPr>
              <w:pStyle w:val="Body1"/>
              <w:cnfStyle w:val="000000100000" w:firstRow="0" w:lastRow="0" w:firstColumn="0" w:lastColumn="0" w:oddVBand="0" w:evenVBand="0" w:oddHBand="1" w:evenHBand="0" w:firstRowFirstColumn="0" w:firstRowLastColumn="0" w:lastRowFirstColumn="0" w:lastRowLastColumn="0"/>
            </w:pPr>
            <w:r w:rsidRPr="00BB50C2">
              <w:t xml:space="preserve">The comparative period is not restated for this amendment. </w:t>
            </w:r>
            <w:r w:rsidRPr="00BB50C2">
              <w:br/>
            </w:r>
          </w:p>
        </w:tc>
        <w:tc>
          <w:tcPr>
            <w:tcW w:w="1984" w:type="dxa"/>
            <w:vAlign w:val="top"/>
          </w:tcPr>
          <w:p w14:paraId="1E470A13" w14:textId="77777777" w:rsidR="000B5668" w:rsidRPr="008F5869" w:rsidRDefault="000B5668" w:rsidP="000429B8">
            <w:pPr>
              <w:pStyle w:val="Heading2"/>
              <w:cnfStyle w:val="000000100000" w:firstRow="0" w:lastRow="0" w:firstColumn="0" w:lastColumn="0" w:oddVBand="0" w:evenVBand="0" w:oddHBand="1" w:evenHBand="0" w:firstRowFirstColumn="0" w:firstRowLastColumn="0" w:lastRowFirstColumn="0" w:lastRowLastColumn="0"/>
            </w:pPr>
            <w:r w:rsidRPr="008F5869">
              <w:rPr>
                <w:lang w:val="en-US"/>
              </w:rPr>
              <w:t>1 January 2025</w:t>
            </w:r>
          </w:p>
        </w:tc>
      </w:tr>
    </w:tbl>
    <w:p w14:paraId="58D548EC" w14:textId="77777777" w:rsidR="00D02DE4" w:rsidRPr="00BB50C2" w:rsidRDefault="00D02DE4" w:rsidP="00BB50C2"/>
    <w:p w14:paraId="137F4448" w14:textId="77777777" w:rsidR="00D02DE4" w:rsidRPr="00BB50C2" w:rsidRDefault="00D02DE4" w:rsidP="00BB50C2">
      <w:r w:rsidRPr="00BB50C2">
        <w:br w:type="page"/>
      </w:r>
    </w:p>
    <w:p w14:paraId="65C1B53F" w14:textId="095B6D5D" w:rsidR="00534BF3" w:rsidRPr="00BB50C2" w:rsidRDefault="00534BF3" w:rsidP="00FC52E4">
      <w:pPr>
        <w:pStyle w:val="Heading1"/>
      </w:pPr>
      <w:r w:rsidRPr="00BB50C2">
        <w:lastRenderedPageBreak/>
        <w:t>STANDARDS ISSUED BUT NOT YET EFFECTIVE:</w:t>
      </w:r>
    </w:p>
    <w:p w14:paraId="2A6B9D33" w14:textId="6E6DB28A" w:rsidR="00534BF3" w:rsidRPr="00BB50C2" w:rsidRDefault="00534BF3" w:rsidP="00B94D8E">
      <w:pPr>
        <w:pStyle w:val="Body1"/>
      </w:pPr>
      <w:r w:rsidRPr="00BB50C2">
        <w:t>The following standards</w:t>
      </w:r>
      <w:r w:rsidR="00D02DE4" w:rsidRPr="00BB50C2">
        <w:t xml:space="preserve"> or amendments</w:t>
      </w:r>
      <w:r w:rsidRPr="00BB50C2">
        <w:t xml:space="preserve"> have been issued by the </w:t>
      </w:r>
      <w:r w:rsidR="00464D63" w:rsidRPr="00BB50C2">
        <w:t>IASB</w:t>
      </w:r>
      <w:r w:rsidRPr="00BB50C2">
        <w:t xml:space="preserve"> but are not yet mandatory.  </w:t>
      </w:r>
      <w:r w:rsidR="008E3EBC" w:rsidRPr="00BB50C2">
        <w:t>They</w:t>
      </w:r>
      <w:r w:rsidRPr="00BB50C2">
        <w:t xml:space="preserve"> are available for early adoption.  </w:t>
      </w:r>
    </w:p>
    <w:tbl>
      <w:tblPr>
        <w:tblStyle w:val="ListTable3-Accent5"/>
        <w:tblW w:w="9214" w:type="dxa"/>
        <w:tblInd w:w="-5" w:type="dxa"/>
        <w:tblLayout w:type="fixed"/>
        <w:tblLook w:val="04A0" w:firstRow="1" w:lastRow="0" w:firstColumn="1" w:lastColumn="0" w:noHBand="0" w:noVBand="1"/>
      </w:tblPr>
      <w:tblGrid>
        <w:gridCol w:w="1701"/>
        <w:gridCol w:w="5812"/>
        <w:gridCol w:w="1701"/>
      </w:tblGrid>
      <w:tr w:rsidR="00534BF3" w:rsidRPr="00753571" w14:paraId="360CBC6B" w14:textId="77777777" w:rsidTr="00A25309">
        <w:trPr>
          <w:cnfStyle w:val="100000000000" w:firstRow="1" w:lastRow="0" w:firstColumn="0" w:lastColumn="0" w:oddVBand="0" w:evenVBand="0" w:oddHBand="0" w:evenHBand="0" w:firstRowFirstColumn="0" w:firstRowLastColumn="0" w:lastRowFirstColumn="0" w:lastRowLastColumn="0"/>
          <w:trHeight w:val="803"/>
          <w:tblHeader/>
        </w:trPr>
        <w:tc>
          <w:tcPr>
            <w:cnfStyle w:val="001000000100" w:firstRow="0" w:lastRow="0" w:firstColumn="1" w:lastColumn="0" w:oddVBand="0" w:evenVBand="0" w:oddHBand="0" w:evenHBand="0" w:firstRowFirstColumn="1" w:firstRowLastColumn="0" w:lastRowFirstColumn="0" w:lastRowLastColumn="0"/>
            <w:tcW w:w="1701" w:type="dxa"/>
            <w:vAlign w:val="top"/>
            <w:hideMark/>
          </w:tcPr>
          <w:p w14:paraId="7D7A7A1A" w14:textId="77777777" w:rsidR="00534BF3" w:rsidRPr="00753571" w:rsidRDefault="00534BF3" w:rsidP="00753571">
            <w:pPr>
              <w:pStyle w:val="Heading2"/>
              <w:rPr>
                <w:b w:val="0"/>
                <w:bCs w:val="0"/>
              </w:rPr>
            </w:pPr>
            <w:r w:rsidRPr="00753571">
              <w:rPr>
                <w:b w:val="0"/>
                <w:bCs w:val="0"/>
              </w:rPr>
              <w:t>REFERENCE</w:t>
            </w:r>
          </w:p>
        </w:tc>
        <w:tc>
          <w:tcPr>
            <w:tcW w:w="5812" w:type="dxa"/>
            <w:vAlign w:val="top"/>
            <w:hideMark/>
          </w:tcPr>
          <w:p w14:paraId="5EAB29B6" w14:textId="77777777" w:rsidR="00534BF3" w:rsidRPr="00753571" w:rsidRDefault="00534BF3" w:rsidP="00753571">
            <w:pPr>
              <w:pStyle w:val="Heading2"/>
              <w:cnfStyle w:val="100000000000" w:firstRow="1" w:lastRow="0" w:firstColumn="0" w:lastColumn="0" w:oddVBand="0" w:evenVBand="0" w:oddHBand="0" w:evenHBand="0" w:firstRowFirstColumn="0" w:firstRowLastColumn="0" w:lastRowFirstColumn="0" w:lastRowLastColumn="0"/>
              <w:rPr>
                <w:b w:val="0"/>
                <w:bCs w:val="0"/>
              </w:rPr>
            </w:pPr>
            <w:r w:rsidRPr="00753571">
              <w:rPr>
                <w:b w:val="0"/>
                <w:bCs w:val="0"/>
              </w:rPr>
              <w:t>TITLE</w:t>
            </w:r>
          </w:p>
        </w:tc>
        <w:tc>
          <w:tcPr>
            <w:tcW w:w="1701" w:type="dxa"/>
            <w:vAlign w:val="top"/>
            <w:hideMark/>
          </w:tcPr>
          <w:p w14:paraId="676C051B" w14:textId="77777777" w:rsidR="00534BF3" w:rsidRPr="00753571" w:rsidRDefault="00534BF3" w:rsidP="00753571">
            <w:pPr>
              <w:pStyle w:val="Heading2"/>
              <w:cnfStyle w:val="100000000000" w:firstRow="1" w:lastRow="0" w:firstColumn="0" w:lastColumn="0" w:oddVBand="0" w:evenVBand="0" w:oddHBand="0" w:evenHBand="0" w:firstRowFirstColumn="0" w:firstRowLastColumn="0" w:lastRowFirstColumn="0" w:lastRowLastColumn="0"/>
              <w:rPr>
                <w:b w:val="0"/>
                <w:bCs w:val="0"/>
              </w:rPr>
            </w:pPr>
            <w:r w:rsidRPr="00753571">
              <w:rPr>
                <w:b w:val="0"/>
                <w:bCs w:val="0"/>
              </w:rPr>
              <w:t>APPLICABLE FOR REPORTING PERIODS BEGINNING ON OR AFTER</w:t>
            </w:r>
          </w:p>
        </w:tc>
      </w:tr>
      <w:tr w:rsidR="007726EF" w:rsidRPr="00BB50C2" w:rsidDel="000B5668" w14:paraId="63283318" w14:textId="77777777" w:rsidTr="00AD1D5B">
        <w:trPr>
          <w:cnfStyle w:val="000000100000" w:firstRow="0" w:lastRow="0" w:firstColumn="0" w:lastColumn="0" w:oddVBand="0" w:evenVBand="0" w:oddHBand="1"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1701" w:type="dxa"/>
            <w:shd w:val="clear" w:color="auto" w:fill="B9EDFF"/>
            <w:vAlign w:val="top"/>
          </w:tcPr>
          <w:p w14:paraId="3B17646F" w14:textId="75CDF963" w:rsidR="007726EF" w:rsidRPr="008F5869" w:rsidDel="000B5668" w:rsidRDefault="00C40C54" w:rsidP="008F5869">
            <w:pPr>
              <w:pStyle w:val="Heading2"/>
            </w:pPr>
            <w:r w:rsidRPr="00083A94">
              <w:rPr>
                <w:b w:val="0"/>
                <w:bCs w:val="0"/>
              </w:rPr>
              <w:t>Amendments to IFRS 9 and IFRS 7</w:t>
            </w:r>
          </w:p>
        </w:tc>
        <w:tc>
          <w:tcPr>
            <w:tcW w:w="5812" w:type="dxa"/>
            <w:shd w:val="clear" w:color="auto" w:fill="B9EDFF"/>
            <w:vAlign w:val="top"/>
          </w:tcPr>
          <w:p w14:paraId="0E341E4A" w14:textId="77777777" w:rsidR="007726EF" w:rsidRDefault="00E34C33" w:rsidP="008F5869">
            <w:pPr>
              <w:pStyle w:val="Heading2"/>
              <w:cnfStyle w:val="000000100000" w:firstRow="0" w:lastRow="0" w:firstColumn="0" w:lastColumn="0" w:oddVBand="0" w:evenVBand="0" w:oddHBand="1" w:evenHBand="0" w:firstRowFirstColumn="0" w:firstRowLastColumn="0" w:lastRowFirstColumn="0" w:lastRowLastColumn="0"/>
              <w:rPr>
                <w:lang w:val="en-US"/>
              </w:rPr>
            </w:pPr>
            <w:r>
              <w:rPr>
                <w:lang w:val="en-US"/>
              </w:rPr>
              <w:t>Contracts Referencing Nature-dependent Electricity</w:t>
            </w:r>
          </w:p>
          <w:p w14:paraId="0E4FAA3F" w14:textId="70C49C4B" w:rsidR="002E68A7" w:rsidRDefault="002E68A7" w:rsidP="002E68A7">
            <w:pPr>
              <w:pStyle w:val="Body1"/>
              <w:cnfStyle w:val="000000100000" w:firstRow="0" w:lastRow="0" w:firstColumn="0" w:lastColumn="0" w:oddVBand="0" w:evenVBand="0" w:oddHBand="1" w:evenHBand="0" w:firstRowFirstColumn="0" w:firstRowLastColumn="0" w:lastRowFirstColumn="0" w:lastRowLastColumn="0"/>
            </w:pPr>
            <w:r>
              <w:t>Th</w:t>
            </w:r>
            <w:r w:rsidR="007F07A0">
              <w:t>e</w:t>
            </w:r>
            <w:r>
              <w:t>s</w:t>
            </w:r>
            <w:r w:rsidR="007F07A0">
              <w:t>e</w:t>
            </w:r>
            <w:r>
              <w:t xml:space="preserve"> amendment</w:t>
            </w:r>
            <w:r w:rsidR="007F07A0">
              <w:t xml:space="preserve">s update IFRS 9 </w:t>
            </w:r>
            <w:r w:rsidR="007F07A0">
              <w:rPr>
                <w:i/>
                <w:iCs/>
              </w:rPr>
              <w:t xml:space="preserve">Financial Instruments </w:t>
            </w:r>
            <w:r w:rsidR="007F07A0">
              <w:t xml:space="preserve">and IFRS 7 </w:t>
            </w:r>
            <w:r w:rsidR="007F07A0">
              <w:rPr>
                <w:i/>
                <w:iCs/>
              </w:rPr>
              <w:t>Financial Instruments: Disclosures</w:t>
            </w:r>
            <w:r w:rsidR="00A347E2">
              <w:t xml:space="preserve"> to assist entities in better </w:t>
            </w:r>
            <w:proofErr w:type="gramStart"/>
            <w:r w:rsidR="00A347E2">
              <w:t>report</w:t>
            </w:r>
            <w:proofErr w:type="gramEnd"/>
            <w:r w:rsidR="00A347E2">
              <w:t xml:space="preserve"> the financial </w:t>
            </w:r>
            <w:r w:rsidR="000A11BA">
              <w:t xml:space="preserve">effects </w:t>
            </w:r>
            <w:r w:rsidR="00A347E2">
              <w:t>of nature-dependent electricity contracts, which are often structured as power purchase agreements (PPAs).</w:t>
            </w:r>
            <w:r w:rsidR="00B56352">
              <w:t xml:space="preserve">  The amendments</w:t>
            </w:r>
            <w:r w:rsidR="00D86982">
              <w:t>:</w:t>
            </w:r>
          </w:p>
          <w:p w14:paraId="69B65CD8" w14:textId="77777777" w:rsidR="00B56352" w:rsidRDefault="00B56352" w:rsidP="00B56352">
            <w:pPr>
              <w:pStyle w:val="Bullet"/>
              <w:cnfStyle w:val="000000100000" w:firstRow="0" w:lastRow="0" w:firstColumn="0" w:lastColumn="0" w:oddVBand="0" w:evenVBand="0" w:oddHBand="1" w:evenHBand="0" w:firstRowFirstColumn="0" w:firstRowLastColumn="0" w:lastRowFirstColumn="0" w:lastRowLastColumn="0"/>
            </w:pPr>
            <w:r>
              <w:t>clarify the application of the ‘own use exemption’</w:t>
            </w:r>
          </w:p>
          <w:p w14:paraId="10416DDD" w14:textId="28CA941A" w:rsidR="00B56352" w:rsidRDefault="00B56352" w:rsidP="00B56352">
            <w:pPr>
              <w:pStyle w:val="Bullet"/>
              <w:cnfStyle w:val="000000100000" w:firstRow="0" w:lastRow="0" w:firstColumn="0" w:lastColumn="0" w:oddVBand="0" w:evenVBand="0" w:oddHBand="1" w:evenHBand="0" w:firstRowFirstColumn="0" w:firstRowLastColumn="0" w:lastRowFirstColumn="0" w:lastRowLastColumn="0"/>
            </w:pPr>
            <w:r>
              <w:t>permit hedge accounting if these contracts are used for hedging purposes</w:t>
            </w:r>
          </w:p>
          <w:p w14:paraId="448F7C00" w14:textId="3DB0CD3B" w:rsidR="00B56352" w:rsidRDefault="00083A94" w:rsidP="00083A94">
            <w:pPr>
              <w:pStyle w:val="Bullet"/>
              <w:cnfStyle w:val="000000100000" w:firstRow="0" w:lastRow="0" w:firstColumn="0" w:lastColumn="0" w:oddVBand="0" w:evenVBand="0" w:oddHBand="1" w:evenHBand="0" w:firstRowFirstColumn="0" w:firstRowLastColumn="0" w:lastRowFirstColumn="0" w:lastRowLastColumn="0"/>
            </w:pPr>
            <w:r>
              <w:t xml:space="preserve">require additional disclosure requirements as to the </w:t>
            </w:r>
            <w:r w:rsidR="0083706A">
              <w:t xml:space="preserve">financial </w:t>
            </w:r>
            <w:r>
              <w:t xml:space="preserve">effects </w:t>
            </w:r>
            <w:r w:rsidR="00EC3F01">
              <w:t xml:space="preserve">and risks </w:t>
            </w:r>
            <w:r>
              <w:t>these contracts have on the entity</w:t>
            </w:r>
          </w:p>
          <w:p w14:paraId="1B3FCBB5" w14:textId="77777777" w:rsidR="00DE36C4" w:rsidRDefault="00723075" w:rsidP="00DE36C4">
            <w:pPr>
              <w:pStyle w:val="Body1"/>
              <w:cnfStyle w:val="000000100000" w:firstRow="0" w:lastRow="0" w:firstColumn="0" w:lastColumn="0" w:oddVBand="0" w:evenVBand="0" w:oddHBand="1" w:evenHBand="0" w:firstRowFirstColumn="0" w:firstRowLastColumn="0" w:lastRowFirstColumn="0" w:lastRowLastColumn="0"/>
            </w:pPr>
            <w:r>
              <w:t>The amendments</w:t>
            </w:r>
            <w:r w:rsidR="008960C8">
              <w:t xml:space="preserve"> </w:t>
            </w:r>
            <w:r w:rsidR="00556320">
              <w:t>are applied retrospectively, but prior periods are not required to be restated for the impacts of this standard</w:t>
            </w:r>
            <w:r w:rsidR="00CD0F1B">
              <w:t>, with an adjustment to opening retained earnings</w:t>
            </w:r>
            <w:r w:rsidR="00556320">
              <w:t>.  The hedging requirements may only be applied prospectively to hedges designated after the amendments are adopted</w:t>
            </w:r>
            <w:r w:rsidR="00D86982">
              <w:t>.</w:t>
            </w:r>
            <w:r>
              <w:t xml:space="preserve"> </w:t>
            </w:r>
          </w:p>
          <w:p w14:paraId="58D6E4EF" w14:textId="77777777" w:rsidR="004A05E4" w:rsidRDefault="004A05E4" w:rsidP="00DE36C4">
            <w:pPr>
              <w:pStyle w:val="Body1"/>
              <w:cnfStyle w:val="000000100000" w:firstRow="0" w:lastRow="0" w:firstColumn="0" w:lastColumn="0" w:oddVBand="0" w:evenVBand="0" w:oddHBand="1" w:evenHBand="0" w:firstRowFirstColumn="0" w:firstRowLastColumn="0" w:lastRowFirstColumn="0" w:lastRowLastColumn="0"/>
            </w:pPr>
          </w:p>
          <w:p w14:paraId="3BCBE703" w14:textId="77777777" w:rsidR="004A05E4" w:rsidRDefault="004A05E4" w:rsidP="00DE36C4">
            <w:pPr>
              <w:pStyle w:val="Body1"/>
              <w:cnfStyle w:val="000000100000" w:firstRow="0" w:lastRow="0" w:firstColumn="0" w:lastColumn="0" w:oddVBand="0" w:evenVBand="0" w:oddHBand="1" w:evenHBand="0" w:firstRowFirstColumn="0" w:firstRowLastColumn="0" w:lastRowFirstColumn="0" w:lastRowLastColumn="0"/>
            </w:pPr>
          </w:p>
          <w:p w14:paraId="3C86476E" w14:textId="77777777" w:rsidR="004A05E4" w:rsidRDefault="004A05E4" w:rsidP="00DE36C4">
            <w:pPr>
              <w:pStyle w:val="Body1"/>
              <w:cnfStyle w:val="000000100000" w:firstRow="0" w:lastRow="0" w:firstColumn="0" w:lastColumn="0" w:oddVBand="0" w:evenVBand="0" w:oddHBand="1" w:evenHBand="0" w:firstRowFirstColumn="0" w:firstRowLastColumn="0" w:lastRowFirstColumn="0" w:lastRowLastColumn="0"/>
            </w:pPr>
          </w:p>
          <w:p w14:paraId="6D8CC9B3" w14:textId="77777777" w:rsidR="004A05E4" w:rsidRDefault="004A05E4" w:rsidP="00DE36C4">
            <w:pPr>
              <w:pStyle w:val="Body1"/>
              <w:cnfStyle w:val="000000100000" w:firstRow="0" w:lastRow="0" w:firstColumn="0" w:lastColumn="0" w:oddVBand="0" w:evenVBand="0" w:oddHBand="1" w:evenHBand="0" w:firstRowFirstColumn="0" w:firstRowLastColumn="0" w:lastRowFirstColumn="0" w:lastRowLastColumn="0"/>
            </w:pPr>
          </w:p>
          <w:p w14:paraId="48339634" w14:textId="77777777" w:rsidR="004A05E4" w:rsidRDefault="004A05E4" w:rsidP="00DE36C4">
            <w:pPr>
              <w:pStyle w:val="Body1"/>
              <w:cnfStyle w:val="000000100000" w:firstRow="0" w:lastRow="0" w:firstColumn="0" w:lastColumn="0" w:oddVBand="0" w:evenVBand="0" w:oddHBand="1" w:evenHBand="0" w:firstRowFirstColumn="0" w:firstRowLastColumn="0" w:lastRowFirstColumn="0" w:lastRowLastColumn="0"/>
            </w:pPr>
          </w:p>
          <w:p w14:paraId="33788383" w14:textId="77777777" w:rsidR="004A05E4" w:rsidRDefault="004A05E4" w:rsidP="00DE36C4">
            <w:pPr>
              <w:pStyle w:val="Body1"/>
              <w:cnfStyle w:val="000000100000" w:firstRow="0" w:lastRow="0" w:firstColumn="0" w:lastColumn="0" w:oddVBand="0" w:evenVBand="0" w:oddHBand="1" w:evenHBand="0" w:firstRowFirstColumn="0" w:firstRowLastColumn="0" w:lastRowFirstColumn="0" w:lastRowLastColumn="0"/>
            </w:pPr>
          </w:p>
          <w:p w14:paraId="63600739" w14:textId="77777777" w:rsidR="004A05E4" w:rsidRDefault="004A05E4" w:rsidP="00DE36C4">
            <w:pPr>
              <w:pStyle w:val="Body1"/>
              <w:cnfStyle w:val="000000100000" w:firstRow="0" w:lastRow="0" w:firstColumn="0" w:lastColumn="0" w:oddVBand="0" w:evenVBand="0" w:oddHBand="1" w:evenHBand="0" w:firstRowFirstColumn="0" w:firstRowLastColumn="0" w:lastRowFirstColumn="0" w:lastRowLastColumn="0"/>
            </w:pPr>
          </w:p>
          <w:p w14:paraId="464C3D21" w14:textId="77777777" w:rsidR="004A05E4" w:rsidRDefault="004A05E4" w:rsidP="00DE36C4">
            <w:pPr>
              <w:pStyle w:val="Body1"/>
              <w:cnfStyle w:val="000000100000" w:firstRow="0" w:lastRow="0" w:firstColumn="0" w:lastColumn="0" w:oddVBand="0" w:evenVBand="0" w:oddHBand="1" w:evenHBand="0" w:firstRowFirstColumn="0" w:firstRowLastColumn="0" w:lastRowFirstColumn="0" w:lastRowLastColumn="0"/>
            </w:pPr>
          </w:p>
          <w:p w14:paraId="0B74C2FB" w14:textId="1870AF3D" w:rsidR="004A05E4" w:rsidRPr="007F07A0" w:rsidDel="000B5668" w:rsidRDefault="004A05E4" w:rsidP="00DE36C4">
            <w:pPr>
              <w:pStyle w:val="Body1"/>
              <w:cnfStyle w:val="000000100000" w:firstRow="0" w:lastRow="0" w:firstColumn="0" w:lastColumn="0" w:oddVBand="0" w:evenVBand="0" w:oddHBand="1" w:evenHBand="0" w:firstRowFirstColumn="0" w:firstRowLastColumn="0" w:lastRowFirstColumn="0" w:lastRowLastColumn="0"/>
            </w:pPr>
          </w:p>
        </w:tc>
        <w:tc>
          <w:tcPr>
            <w:tcW w:w="1701" w:type="dxa"/>
            <w:shd w:val="clear" w:color="auto" w:fill="B9EDFF"/>
            <w:vAlign w:val="top"/>
          </w:tcPr>
          <w:p w14:paraId="1968C3B2" w14:textId="1B1C8564" w:rsidR="007726EF" w:rsidRPr="008F5869" w:rsidDel="000B5668" w:rsidRDefault="002E68A7" w:rsidP="008F5869">
            <w:pPr>
              <w:pStyle w:val="Heading2"/>
              <w:cnfStyle w:val="000000100000" w:firstRow="0" w:lastRow="0" w:firstColumn="0" w:lastColumn="0" w:oddVBand="0" w:evenVBand="0" w:oddHBand="1" w:evenHBand="0" w:firstRowFirstColumn="0" w:firstRowLastColumn="0" w:lastRowFirstColumn="0" w:lastRowLastColumn="0"/>
              <w:rPr>
                <w:lang w:val="en-US"/>
              </w:rPr>
            </w:pPr>
            <w:r>
              <w:rPr>
                <w:lang w:val="en-US"/>
              </w:rPr>
              <w:t>1 January 2026</w:t>
            </w:r>
          </w:p>
        </w:tc>
      </w:tr>
      <w:tr w:rsidR="00B72FEE" w:rsidRPr="00BB50C2" w14:paraId="21A398DD" w14:textId="77777777" w:rsidTr="00A25309">
        <w:trPr>
          <w:trHeight w:val="849"/>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vAlign w:val="top"/>
          </w:tcPr>
          <w:p w14:paraId="75E4578A" w14:textId="3478A872" w:rsidR="00B72FEE" w:rsidRPr="008F5869" w:rsidRDefault="00B72FEE" w:rsidP="008F5869">
            <w:pPr>
              <w:pStyle w:val="Heading2"/>
              <w:rPr>
                <w:b w:val="0"/>
                <w:bCs w:val="0"/>
              </w:rPr>
            </w:pPr>
            <w:r w:rsidRPr="008F5869">
              <w:rPr>
                <w:b w:val="0"/>
                <w:bCs w:val="0"/>
              </w:rPr>
              <w:t xml:space="preserve">Amendments to </w:t>
            </w:r>
            <w:r w:rsidR="00251CA6" w:rsidRPr="008F5869">
              <w:rPr>
                <w:b w:val="0"/>
                <w:bCs w:val="0"/>
              </w:rPr>
              <w:t>IFRS 9 and IFRS 7</w:t>
            </w:r>
          </w:p>
        </w:tc>
        <w:tc>
          <w:tcPr>
            <w:tcW w:w="5812" w:type="dxa"/>
            <w:vAlign w:val="top"/>
          </w:tcPr>
          <w:p w14:paraId="30C2E100" w14:textId="77777777" w:rsidR="00B72FEE" w:rsidRPr="008F5869" w:rsidRDefault="00251CA6" w:rsidP="008F5869">
            <w:pPr>
              <w:pStyle w:val="Heading2"/>
              <w:cnfStyle w:val="000000000000" w:firstRow="0" w:lastRow="0" w:firstColumn="0" w:lastColumn="0" w:oddVBand="0" w:evenVBand="0" w:oddHBand="0" w:evenHBand="0" w:firstRowFirstColumn="0" w:firstRowLastColumn="0" w:lastRowFirstColumn="0" w:lastRowLastColumn="0"/>
              <w:rPr>
                <w:b/>
                <w:bCs/>
              </w:rPr>
            </w:pPr>
            <w:r w:rsidRPr="008F5869">
              <w:t xml:space="preserve">Amendments </w:t>
            </w:r>
            <w:r w:rsidR="00AA78A8" w:rsidRPr="008F5869">
              <w:t xml:space="preserve">to the Classification and Measurement of </w:t>
            </w:r>
            <w:r w:rsidR="00CA644D" w:rsidRPr="008F5869">
              <w:t>Financial Instruments</w:t>
            </w:r>
          </w:p>
          <w:p w14:paraId="6140A4C0" w14:textId="1AA3D7F1" w:rsidR="00CA644D" w:rsidRPr="00BB50C2" w:rsidRDefault="00CA644D" w:rsidP="008F5869">
            <w:pPr>
              <w:pStyle w:val="Body1"/>
              <w:cnfStyle w:val="000000000000" w:firstRow="0" w:lastRow="0" w:firstColumn="0" w:lastColumn="0" w:oddVBand="0" w:evenVBand="0" w:oddHBand="0" w:evenHBand="0" w:firstRowFirstColumn="0" w:firstRowLastColumn="0" w:lastRowFirstColumn="0" w:lastRowLastColumn="0"/>
            </w:pPr>
            <w:r w:rsidRPr="00BB50C2">
              <w:t>Th</w:t>
            </w:r>
            <w:r w:rsidR="007F07A0">
              <w:t>ese</w:t>
            </w:r>
            <w:r w:rsidRPr="00BB50C2">
              <w:t xml:space="preserve"> </w:t>
            </w:r>
            <w:r w:rsidR="00F32424" w:rsidRPr="00BB50C2">
              <w:t>amendment</w:t>
            </w:r>
            <w:r w:rsidR="007F07A0">
              <w:t>s</w:t>
            </w:r>
            <w:r w:rsidR="00F32424" w:rsidRPr="00BB50C2">
              <w:t xml:space="preserve"> </w:t>
            </w:r>
            <w:proofErr w:type="gramStart"/>
            <w:r w:rsidR="00F32424" w:rsidRPr="00BB50C2">
              <w:t>up</w:t>
            </w:r>
            <w:r w:rsidR="009453CA" w:rsidRPr="00BB50C2">
              <w:t>date</w:t>
            </w:r>
            <w:r w:rsidR="005F04DD">
              <w:t>s</w:t>
            </w:r>
            <w:proofErr w:type="gramEnd"/>
            <w:r w:rsidR="009453CA" w:rsidRPr="00BB50C2">
              <w:t xml:space="preserve"> IFRS 9 </w:t>
            </w:r>
            <w:r w:rsidR="009453CA" w:rsidRPr="008F5869">
              <w:rPr>
                <w:i/>
                <w:iCs/>
              </w:rPr>
              <w:t>Financial Instruments</w:t>
            </w:r>
            <w:r w:rsidR="009453CA" w:rsidRPr="00BB50C2">
              <w:t xml:space="preserve"> and IFRS 7 </w:t>
            </w:r>
            <w:r w:rsidR="009453CA" w:rsidRPr="008F5869">
              <w:rPr>
                <w:i/>
                <w:iCs/>
              </w:rPr>
              <w:t>Financial Instruments: Disclosures</w:t>
            </w:r>
            <w:r w:rsidR="009453CA" w:rsidRPr="00BB50C2">
              <w:t xml:space="preserve"> </w:t>
            </w:r>
            <w:proofErr w:type="gramStart"/>
            <w:r w:rsidR="00BA1115" w:rsidRPr="00BB50C2">
              <w:t>as a result of</w:t>
            </w:r>
            <w:proofErr w:type="gramEnd"/>
            <w:r w:rsidR="00BA1115" w:rsidRPr="00BB50C2">
              <w:t xml:space="preserve"> </w:t>
            </w:r>
            <w:r w:rsidR="00BA1115" w:rsidRPr="00BB50C2">
              <w:lastRenderedPageBreak/>
              <w:t>the post implementation review of IFRS 9.  It updates the requirements relating to:</w:t>
            </w:r>
          </w:p>
          <w:p w14:paraId="37D87A43" w14:textId="77777777" w:rsidR="00BA1115" w:rsidRPr="00BB50C2" w:rsidRDefault="00BA1115" w:rsidP="006E5412">
            <w:pPr>
              <w:pStyle w:val="Bullet"/>
              <w:cnfStyle w:val="000000000000" w:firstRow="0" w:lastRow="0" w:firstColumn="0" w:lastColumn="0" w:oddVBand="0" w:evenVBand="0" w:oddHBand="0" w:evenHBand="0" w:firstRowFirstColumn="0" w:firstRowLastColumn="0" w:lastRowFirstColumn="0" w:lastRowLastColumn="0"/>
            </w:pPr>
            <w:r w:rsidRPr="00BB50C2">
              <w:t xml:space="preserve">timing of derecognition of liabilities </w:t>
            </w:r>
            <w:r w:rsidR="0068437D" w:rsidRPr="00BB50C2">
              <w:t>when they are settled using an electronic payments system</w:t>
            </w:r>
          </w:p>
          <w:p w14:paraId="40CC2CCA" w14:textId="77777777" w:rsidR="0068437D" w:rsidRPr="00BB50C2" w:rsidRDefault="0068437D" w:rsidP="006E5412">
            <w:pPr>
              <w:pStyle w:val="Bullet"/>
              <w:cnfStyle w:val="000000000000" w:firstRow="0" w:lastRow="0" w:firstColumn="0" w:lastColumn="0" w:oddVBand="0" w:evenVBand="0" w:oddHBand="0" w:evenHBand="0" w:firstRowFirstColumn="0" w:firstRowLastColumn="0" w:lastRowFirstColumn="0" w:lastRowLastColumn="0"/>
            </w:pPr>
            <w:r w:rsidRPr="00BB50C2">
              <w:t xml:space="preserve">how to assess contractual cash flow characteristics </w:t>
            </w:r>
            <w:r w:rsidR="003A0E50" w:rsidRPr="00BB50C2">
              <w:t>of financial assets, including those with environmental, social and governance (ESG)-linked features</w:t>
            </w:r>
          </w:p>
          <w:p w14:paraId="545A108D" w14:textId="254BB321" w:rsidR="00BD7E0E" w:rsidRPr="00BB50C2" w:rsidRDefault="00BD7E0E" w:rsidP="008F5869">
            <w:pPr>
              <w:pStyle w:val="Body1"/>
              <w:cnfStyle w:val="000000000000" w:firstRow="0" w:lastRow="0" w:firstColumn="0" w:lastColumn="0" w:oddVBand="0" w:evenVBand="0" w:oddHBand="0" w:evenHBand="0" w:firstRowFirstColumn="0" w:firstRowLastColumn="0" w:lastRowFirstColumn="0" w:lastRowLastColumn="0"/>
            </w:pPr>
            <w:r w:rsidRPr="008F5869">
              <w:t xml:space="preserve">It also </w:t>
            </w:r>
            <w:r w:rsidRPr="007B06B6">
              <w:t>amen</w:t>
            </w:r>
            <w:r w:rsidR="00284572" w:rsidRPr="007B06B6">
              <w:t>d</w:t>
            </w:r>
            <w:r w:rsidR="00917262" w:rsidRPr="007B06B6">
              <w:t>s the</w:t>
            </w:r>
            <w:r w:rsidRPr="007B06B6">
              <w:t xml:space="preserve"> disclosure requirements relating to investments in equity instruments designated at fair value through other comprehensive income and added disclosure requirements for financial instruments with contingent features that do not relate directly to basic lending risks and cost</w:t>
            </w:r>
            <w:r w:rsidR="00917262" w:rsidRPr="007B06B6">
              <w:t>.</w:t>
            </w:r>
          </w:p>
          <w:p w14:paraId="150B9F46" w14:textId="77777777" w:rsidR="002E1C45" w:rsidRDefault="00284572" w:rsidP="00D86982">
            <w:pPr>
              <w:pStyle w:val="Body1"/>
              <w:cnfStyle w:val="000000000000" w:firstRow="0" w:lastRow="0" w:firstColumn="0" w:lastColumn="0" w:oddVBand="0" w:evenVBand="0" w:oddHBand="0" w:evenHBand="0" w:firstRowFirstColumn="0" w:firstRowLastColumn="0" w:lastRowFirstColumn="0" w:lastRowLastColumn="0"/>
            </w:pPr>
            <w:r w:rsidRPr="007B06B6">
              <w:t>Whilst the amendment is applied retrospectively</w:t>
            </w:r>
            <w:r w:rsidR="00CC4AE6">
              <w:t xml:space="preserve"> with an adjustment to opening retained earnings, </w:t>
            </w:r>
            <w:r w:rsidRPr="007B06B6">
              <w:t>the comparative period is not restated for this amendment.</w:t>
            </w:r>
            <w:r w:rsidRPr="00BB50C2">
              <w:t xml:space="preserve"> </w:t>
            </w:r>
          </w:p>
          <w:p w14:paraId="2080CE79" w14:textId="77777777" w:rsidR="004A05E4" w:rsidRDefault="004A05E4" w:rsidP="00D86982">
            <w:pPr>
              <w:pStyle w:val="Body1"/>
              <w:cnfStyle w:val="000000000000" w:firstRow="0" w:lastRow="0" w:firstColumn="0" w:lastColumn="0" w:oddVBand="0" w:evenVBand="0" w:oddHBand="0" w:evenHBand="0" w:firstRowFirstColumn="0" w:firstRowLastColumn="0" w:lastRowFirstColumn="0" w:lastRowLastColumn="0"/>
            </w:pPr>
          </w:p>
          <w:p w14:paraId="57ED1595" w14:textId="77777777" w:rsidR="004A05E4" w:rsidRDefault="004A05E4" w:rsidP="00D86982">
            <w:pPr>
              <w:pStyle w:val="Body1"/>
              <w:cnfStyle w:val="000000000000" w:firstRow="0" w:lastRow="0" w:firstColumn="0" w:lastColumn="0" w:oddVBand="0" w:evenVBand="0" w:oddHBand="0" w:evenHBand="0" w:firstRowFirstColumn="0" w:firstRowLastColumn="0" w:lastRowFirstColumn="0" w:lastRowLastColumn="0"/>
            </w:pPr>
          </w:p>
          <w:p w14:paraId="6D1708B6" w14:textId="77777777" w:rsidR="004A05E4" w:rsidRDefault="004A05E4" w:rsidP="00D86982">
            <w:pPr>
              <w:pStyle w:val="Body1"/>
              <w:cnfStyle w:val="000000000000" w:firstRow="0" w:lastRow="0" w:firstColumn="0" w:lastColumn="0" w:oddVBand="0" w:evenVBand="0" w:oddHBand="0" w:evenHBand="0" w:firstRowFirstColumn="0" w:firstRowLastColumn="0" w:lastRowFirstColumn="0" w:lastRowLastColumn="0"/>
            </w:pPr>
          </w:p>
          <w:p w14:paraId="100DF4B7" w14:textId="77777777" w:rsidR="004A05E4" w:rsidRDefault="004A05E4" w:rsidP="00D86982">
            <w:pPr>
              <w:pStyle w:val="Body1"/>
              <w:cnfStyle w:val="000000000000" w:firstRow="0" w:lastRow="0" w:firstColumn="0" w:lastColumn="0" w:oddVBand="0" w:evenVBand="0" w:oddHBand="0" w:evenHBand="0" w:firstRowFirstColumn="0" w:firstRowLastColumn="0" w:lastRowFirstColumn="0" w:lastRowLastColumn="0"/>
            </w:pPr>
          </w:p>
          <w:p w14:paraId="63B365F0" w14:textId="77777777" w:rsidR="004A05E4" w:rsidRDefault="004A05E4" w:rsidP="00D86982">
            <w:pPr>
              <w:pStyle w:val="Body1"/>
              <w:cnfStyle w:val="000000000000" w:firstRow="0" w:lastRow="0" w:firstColumn="0" w:lastColumn="0" w:oddVBand="0" w:evenVBand="0" w:oddHBand="0" w:evenHBand="0" w:firstRowFirstColumn="0" w:firstRowLastColumn="0" w:lastRowFirstColumn="0" w:lastRowLastColumn="0"/>
            </w:pPr>
          </w:p>
          <w:p w14:paraId="52BEE6BD" w14:textId="77777777" w:rsidR="004A05E4" w:rsidRDefault="004A05E4" w:rsidP="00D86982">
            <w:pPr>
              <w:pStyle w:val="Body1"/>
              <w:cnfStyle w:val="000000000000" w:firstRow="0" w:lastRow="0" w:firstColumn="0" w:lastColumn="0" w:oddVBand="0" w:evenVBand="0" w:oddHBand="0" w:evenHBand="0" w:firstRowFirstColumn="0" w:firstRowLastColumn="0" w:lastRowFirstColumn="0" w:lastRowLastColumn="0"/>
            </w:pPr>
          </w:p>
          <w:p w14:paraId="18110961" w14:textId="77777777" w:rsidR="004A05E4" w:rsidRDefault="004A05E4" w:rsidP="00D86982">
            <w:pPr>
              <w:pStyle w:val="Body1"/>
              <w:cnfStyle w:val="000000000000" w:firstRow="0" w:lastRow="0" w:firstColumn="0" w:lastColumn="0" w:oddVBand="0" w:evenVBand="0" w:oddHBand="0" w:evenHBand="0" w:firstRowFirstColumn="0" w:firstRowLastColumn="0" w:lastRowFirstColumn="0" w:lastRowLastColumn="0"/>
            </w:pPr>
          </w:p>
          <w:p w14:paraId="32E83964" w14:textId="77777777" w:rsidR="004A05E4" w:rsidRDefault="004A05E4" w:rsidP="00D86982">
            <w:pPr>
              <w:pStyle w:val="Body1"/>
              <w:cnfStyle w:val="000000000000" w:firstRow="0" w:lastRow="0" w:firstColumn="0" w:lastColumn="0" w:oddVBand="0" w:evenVBand="0" w:oddHBand="0" w:evenHBand="0" w:firstRowFirstColumn="0" w:firstRowLastColumn="0" w:lastRowFirstColumn="0" w:lastRowLastColumn="0"/>
            </w:pPr>
          </w:p>
          <w:p w14:paraId="060D716E" w14:textId="77777777" w:rsidR="004A05E4" w:rsidRDefault="004A05E4" w:rsidP="00D86982">
            <w:pPr>
              <w:pStyle w:val="Body1"/>
              <w:cnfStyle w:val="000000000000" w:firstRow="0" w:lastRow="0" w:firstColumn="0" w:lastColumn="0" w:oddVBand="0" w:evenVBand="0" w:oddHBand="0" w:evenHBand="0" w:firstRowFirstColumn="0" w:firstRowLastColumn="0" w:lastRowFirstColumn="0" w:lastRowLastColumn="0"/>
            </w:pPr>
          </w:p>
          <w:p w14:paraId="431FE3B7" w14:textId="77777777" w:rsidR="004A05E4" w:rsidRDefault="004A05E4" w:rsidP="00D86982">
            <w:pPr>
              <w:pStyle w:val="Body1"/>
              <w:cnfStyle w:val="000000000000" w:firstRow="0" w:lastRow="0" w:firstColumn="0" w:lastColumn="0" w:oddVBand="0" w:evenVBand="0" w:oddHBand="0" w:evenHBand="0" w:firstRowFirstColumn="0" w:firstRowLastColumn="0" w:lastRowFirstColumn="0" w:lastRowLastColumn="0"/>
            </w:pPr>
          </w:p>
          <w:p w14:paraId="53FF4AFC" w14:textId="20CCBACE" w:rsidR="004A05E4" w:rsidRPr="007B06B6" w:rsidRDefault="004A05E4" w:rsidP="00D86982">
            <w:pPr>
              <w:pStyle w:val="Body1"/>
              <w:cnfStyle w:val="000000000000" w:firstRow="0" w:lastRow="0" w:firstColumn="0" w:lastColumn="0" w:oddVBand="0" w:evenVBand="0" w:oddHBand="0" w:evenHBand="0" w:firstRowFirstColumn="0" w:firstRowLastColumn="0" w:lastRowFirstColumn="0" w:lastRowLastColumn="0"/>
            </w:pPr>
          </w:p>
        </w:tc>
        <w:tc>
          <w:tcPr>
            <w:tcW w:w="1701" w:type="dxa"/>
            <w:vAlign w:val="top"/>
          </w:tcPr>
          <w:p w14:paraId="03EC7726" w14:textId="52426A5C" w:rsidR="00B72FEE" w:rsidRPr="007B06B6" w:rsidRDefault="00676E73" w:rsidP="008F5869">
            <w:pPr>
              <w:pStyle w:val="Heading2"/>
              <w:cnfStyle w:val="000000000000" w:firstRow="0" w:lastRow="0" w:firstColumn="0" w:lastColumn="0" w:oddVBand="0" w:evenVBand="0" w:oddHBand="0" w:evenHBand="0" w:firstRowFirstColumn="0" w:firstRowLastColumn="0" w:lastRowFirstColumn="0" w:lastRowLastColumn="0"/>
              <w:rPr>
                <w:b/>
                <w:bCs/>
              </w:rPr>
            </w:pPr>
            <w:r w:rsidRPr="007B06B6">
              <w:lastRenderedPageBreak/>
              <w:t>1 January 2026</w:t>
            </w:r>
          </w:p>
        </w:tc>
      </w:tr>
      <w:tr w:rsidR="00180D5A" w:rsidRPr="00BB50C2" w14:paraId="7C6EA86A" w14:textId="77777777" w:rsidTr="00A25309">
        <w:trPr>
          <w:cnfStyle w:val="000000100000" w:firstRow="0" w:lastRow="0" w:firstColumn="0" w:lastColumn="0" w:oddVBand="0" w:evenVBand="0" w:oddHBand="1"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vAlign w:val="top"/>
          </w:tcPr>
          <w:p w14:paraId="3277648C" w14:textId="59F9E09A" w:rsidR="00180D5A" w:rsidRPr="008F5869" w:rsidRDefault="00180D5A" w:rsidP="008F5869">
            <w:pPr>
              <w:pStyle w:val="Heading2"/>
              <w:rPr>
                <w:b w:val="0"/>
                <w:bCs w:val="0"/>
              </w:rPr>
            </w:pPr>
            <w:r w:rsidRPr="008F5869">
              <w:rPr>
                <w:b w:val="0"/>
                <w:bCs w:val="0"/>
              </w:rPr>
              <w:t>Annual Improvements</w:t>
            </w:r>
          </w:p>
        </w:tc>
        <w:tc>
          <w:tcPr>
            <w:tcW w:w="5812" w:type="dxa"/>
            <w:vAlign w:val="top"/>
          </w:tcPr>
          <w:p w14:paraId="1B0BA018" w14:textId="77777777" w:rsidR="00180D5A" w:rsidRPr="00BB50C2" w:rsidRDefault="00E04617" w:rsidP="008F5869">
            <w:pPr>
              <w:pStyle w:val="Heading2"/>
              <w:cnfStyle w:val="000000100000" w:firstRow="0" w:lastRow="0" w:firstColumn="0" w:lastColumn="0" w:oddVBand="0" w:evenVBand="0" w:oddHBand="1" w:evenHBand="0" w:firstRowFirstColumn="0" w:firstRowLastColumn="0" w:lastRowFirstColumn="0" w:lastRowLastColumn="0"/>
            </w:pPr>
            <w:r w:rsidRPr="00BB50C2">
              <w:t>Annual Improvements to IFRS Accounting Standards – Volume 11</w:t>
            </w:r>
          </w:p>
          <w:p w14:paraId="2FB7E2A7" w14:textId="77777777" w:rsidR="001C5F36" w:rsidRPr="00BB50C2" w:rsidRDefault="001C5F36" w:rsidP="008F5869">
            <w:pPr>
              <w:pStyle w:val="Body1"/>
              <w:cnfStyle w:val="000000100000" w:firstRow="0" w:lastRow="0" w:firstColumn="0" w:lastColumn="0" w:oddVBand="0" w:evenVBand="0" w:oddHBand="1" w:evenHBand="0" w:firstRowFirstColumn="0" w:firstRowLastColumn="0" w:lastRowFirstColumn="0" w:lastRowLastColumn="0"/>
            </w:pPr>
            <w:r w:rsidRPr="00BB50C2">
              <w:t xml:space="preserve">The annual improvements make the following minor amendments to the following IFRS Accounting Standards: </w:t>
            </w:r>
          </w:p>
          <w:p w14:paraId="4FEAF262" w14:textId="60F6688F" w:rsidR="0000094C" w:rsidRPr="00BB50C2" w:rsidRDefault="003E033E" w:rsidP="006E5412">
            <w:pPr>
              <w:pStyle w:val="Bullet"/>
              <w:cnfStyle w:val="000000100000" w:firstRow="0" w:lastRow="0" w:firstColumn="0" w:lastColumn="0" w:oddVBand="0" w:evenVBand="0" w:oddHBand="1" w:evenHBand="0" w:firstRowFirstColumn="0" w:firstRowLastColumn="0" w:lastRowFirstColumn="0" w:lastRowLastColumn="0"/>
            </w:pPr>
            <w:r w:rsidRPr="00BB50C2">
              <w:t xml:space="preserve">IFRS 1 </w:t>
            </w:r>
            <w:r w:rsidRPr="008F5869">
              <w:rPr>
                <w:i/>
                <w:iCs/>
              </w:rPr>
              <w:t xml:space="preserve">First-time adoption </w:t>
            </w:r>
            <w:r w:rsidR="00B31B2A" w:rsidRPr="008F5869">
              <w:rPr>
                <w:i/>
                <w:iCs/>
              </w:rPr>
              <w:t>of International Financial Reporting Standards</w:t>
            </w:r>
            <w:r w:rsidR="00B31B2A" w:rsidRPr="00BB50C2">
              <w:t xml:space="preserve"> minor amendments to the </w:t>
            </w:r>
            <w:r w:rsidR="00C57623" w:rsidRPr="00BB50C2">
              <w:t>cross references for hedge accounting by first-time adopters</w:t>
            </w:r>
          </w:p>
          <w:p w14:paraId="3A1F46E6" w14:textId="7576215D" w:rsidR="001C5F36" w:rsidRPr="00BB50C2" w:rsidRDefault="0075566B" w:rsidP="006E5412">
            <w:pPr>
              <w:pStyle w:val="Bullet"/>
              <w:cnfStyle w:val="000000100000" w:firstRow="0" w:lastRow="0" w:firstColumn="0" w:lastColumn="0" w:oddVBand="0" w:evenVBand="0" w:oddHBand="1" w:evenHBand="0" w:firstRowFirstColumn="0" w:firstRowLastColumn="0" w:lastRowFirstColumn="0" w:lastRowLastColumn="0"/>
            </w:pPr>
            <w:r w:rsidRPr="00BB50C2">
              <w:lastRenderedPageBreak/>
              <w:t xml:space="preserve">IFRS 10 </w:t>
            </w:r>
            <w:r w:rsidRPr="008F5869">
              <w:rPr>
                <w:i/>
                <w:iCs/>
              </w:rPr>
              <w:t>Consolidated Financial Statements</w:t>
            </w:r>
            <w:r w:rsidRPr="00BB50C2">
              <w:t xml:space="preserve"> </w:t>
            </w:r>
            <w:r w:rsidR="00585D2C" w:rsidRPr="00BB50C2">
              <w:t>to provide additional guidance on determining what constitutes a ‘de facto agent’</w:t>
            </w:r>
            <w:r w:rsidR="0000094C" w:rsidRPr="00BB50C2">
              <w:t>.</w:t>
            </w:r>
          </w:p>
          <w:p w14:paraId="4595538C" w14:textId="64AD2C82" w:rsidR="00C57623" w:rsidRPr="00BB50C2" w:rsidRDefault="00C57623" w:rsidP="006E5412">
            <w:pPr>
              <w:pStyle w:val="Bullet"/>
              <w:cnfStyle w:val="000000100000" w:firstRow="0" w:lastRow="0" w:firstColumn="0" w:lastColumn="0" w:oddVBand="0" w:evenVBand="0" w:oddHBand="1" w:evenHBand="0" w:firstRowFirstColumn="0" w:firstRowLastColumn="0" w:lastRowFirstColumn="0" w:lastRowLastColumn="0"/>
            </w:pPr>
            <w:r w:rsidRPr="00BB50C2">
              <w:t xml:space="preserve">IFRS </w:t>
            </w:r>
            <w:r w:rsidR="005504AB" w:rsidRPr="00BB50C2">
              <w:t>7</w:t>
            </w:r>
            <w:r w:rsidR="00F6658E" w:rsidRPr="00BB50C2">
              <w:t xml:space="preserve"> </w:t>
            </w:r>
            <w:r w:rsidR="00F6658E" w:rsidRPr="008F5869">
              <w:rPr>
                <w:i/>
                <w:iCs/>
              </w:rPr>
              <w:t xml:space="preserve">Financial Instruments: Disclosures </w:t>
            </w:r>
            <w:r w:rsidR="00C97EEA" w:rsidRPr="00BB50C2">
              <w:t>minor wording changes around the need to disclose</w:t>
            </w:r>
            <w:r w:rsidR="00B54AAC" w:rsidRPr="00BB50C2">
              <w:t xml:space="preserve"> gains or losses arising on </w:t>
            </w:r>
            <w:r w:rsidR="00D81DFF" w:rsidRPr="00BB50C2">
              <w:t>derecognition</w:t>
            </w:r>
            <w:r w:rsidR="00B54AAC" w:rsidRPr="00BB50C2">
              <w:t xml:space="preserve"> where a fair value measurement involves uno</w:t>
            </w:r>
            <w:r w:rsidR="00D81DFF" w:rsidRPr="00BB50C2">
              <w:t xml:space="preserve">bservable inputs. </w:t>
            </w:r>
            <w:r w:rsidR="002A1258" w:rsidRPr="00BB50C2">
              <w:t xml:space="preserve">  The implementation guidance accompanying IFRS 7 is also updated with regards to disclosures of deferred differences between fair values and transaction prices and guidance on credit risk disclosures. </w:t>
            </w:r>
          </w:p>
          <w:p w14:paraId="2DD887E2" w14:textId="13E66ED0" w:rsidR="005504AB" w:rsidRPr="00BB50C2" w:rsidRDefault="005504AB" w:rsidP="006E5412">
            <w:pPr>
              <w:pStyle w:val="Bullet"/>
              <w:cnfStyle w:val="000000100000" w:firstRow="0" w:lastRow="0" w:firstColumn="0" w:lastColumn="0" w:oddVBand="0" w:evenVBand="0" w:oddHBand="1" w:evenHBand="0" w:firstRowFirstColumn="0" w:firstRowLastColumn="0" w:lastRowFirstColumn="0" w:lastRowLastColumn="0"/>
            </w:pPr>
            <w:r w:rsidRPr="00BB50C2">
              <w:t xml:space="preserve">IFRS 9 </w:t>
            </w:r>
            <w:r w:rsidRPr="008F5869">
              <w:rPr>
                <w:i/>
                <w:iCs/>
              </w:rPr>
              <w:t>Financial Instruments</w:t>
            </w:r>
            <w:r w:rsidRPr="00BB50C2">
              <w:t xml:space="preserve"> </w:t>
            </w:r>
            <w:r w:rsidR="001A10C0" w:rsidRPr="00BB50C2">
              <w:t xml:space="preserve">two minor amendments </w:t>
            </w:r>
            <w:r w:rsidR="000A0AE1">
              <w:t>clarify how a lessee accounts for the derecogn</w:t>
            </w:r>
            <w:r w:rsidR="009D118A">
              <w:t>i</w:t>
            </w:r>
            <w:r w:rsidR="000A0AE1">
              <w:t>tion of a lease receivable when it is extinguished</w:t>
            </w:r>
            <w:r w:rsidR="001A10C0" w:rsidRPr="00BB50C2">
              <w:t>,</w:t>
            </w:r>
            <w:r w:rsidR="006106EE" w:rsidRPr="00BB50C2">
              <w:t xml:space="preserve"> and amended wording that clarifies trade receivables are </w:t>
            </w:r>
            <w:proofErr w:type="spellStart"/>
            <w:r w:rsidR="006106EE" w:rsidRPr="00BB50C2">
              <w:t>recognised</w:t>
            </w:r>
            <w:proofErr w:type="spellEnd"/>
            <w:r w:rsidR="006106EE" w:rsidRPr="00BB50C2">
              <w:t xml:space="preserve"> at the amount determined applying the requirements of IFRS 15 Revenue from Contracts with Customers</w:t>
            </w:r>
            <w:r w:rsidR="00C12491" w:rsidRPr="00BB50C2">
              <w:t>.</w:t>
            </w:r>
          </w:p>
          <w:p w14:paraId="6A23F81B" w14:textId="5C93B516" w:rsidR="0000094C" w:rsidRPr="00BB50C2" w:rsidRDefault="0000094C" w:rsidP="006E5412">
            <w:pPr>
              <w:pStyle w:val="Bullet"/>
              <w:cnfStyle w:val="000000100000" w:firstRow="0" w:lastRow="0" w:firstColumn="0" w:lastColumn="0" w:oddVBand="0" w:evenVBand="0" w:oddHBand="1" w:evenHBand="0" w:firstRowFirstColumn="0" w:firstRowLastColumn="0" w:lastRowFirstColumn="0" w:lastRowLastColumn="0"/>
            </w:pPr>
            <w:r w:rsidRPr="00BB50C2">
              <w:t>IAS</w:t>
            </w:r>
            <w:r w:rsidR="0019743B">
              <w:t xml:space="preserve"> 7</w:t>
            </w:r>
            <w:r w:rsidRPr="00BB50C2">
              <w:t xml:space="preserve"> </w:t>
            </w:r>
            <w:r w:rsidRPr="007B06B6">
              <w:rPr>
                <w:i/>
                <w:iCs/>
              </w:rPr>
              <w:t>Statement of Cash Flows</w:t>
            </w:r>
            <w:r w:rsidRPr="00BB50C2">
              <w:t xml:space="preserve"> minor amendments around the term cost in relation to the measurement of investments in associates and joint ventures  </w:t>
            </w:r>
          </w:p>
          <w:p w14:paraId="0A6B18AD" w14:textId="77777777" w:rsidR="00F932BF" w:rsidRPr="00BB50C2" w:rsidRDefault="00F932BF" w:rsidP="008F5869">
            <w:pPr>
              <w:pStyle w:val="Body1"/>
              <w:cnfStyle w:val="000000100000" w:firstRow="0" w:lastRow="0" w:firstColumn="0" w:lastColumn="0" w:oddVBand="0" w:evenVBand="0" w:oddHBand="1" w:evenHBand="0" w:firstRowFirstColumn="0" w:firstRowLastColumn="0" w:lastRowFirstColumn="0" w:lastRowLastColumn="0"/>
            </w:pPr>
            <w:r w:rsidRPr="00BB50C2">
              <w:t xml:space="preserve">These amendments are applied retrospectively with the comparative period restated, except for the </w:t>
            </w:r>
            <w:r w:rsidR="007343D6" w:rsidRPr="00BB50C2">
              <w:t xml:space="preserve">amendments relating to derecognition of lease liabilities in IFRS 9, which only applies to lease </w:t>
            </w:r>
            <w:proofErr w:type="spellStart"/>
            <w:r w:rsidR="007343D6" w:rsidRPr="00BB50C2">
              <w:t>derecognised</w:t>
            </w:r>
            <w:proofErr w:type="spellEnd"/>
            <w:r w:rsidR="007343D6" w:rsidRPr="00BB50C2">
              <w:t xml:space="preserve"> on or after the amendment is adopted.  </w:t>
            </w:r>
          </w:p>
          <w:p w14:paraId="7B3AFB49" w14:textId="77777777" w:rsidR="00634F7F" w:rsidRPr="00BB50C2" w:rsidRDefault="00634F7F" w:rsidP="00BB50C2">
            <w:pPr>
              <w:cnfStyle w:val="000000100000" w:firstRow="0" w:lastRow="0" w:firstColumn="0" w:lastColumn="0" w:oddVBand="0" w:evenVBand="0" w:oddHBand="1" w:evenHBand="0" w:firstRowFirstColumn="0" w:firstRowLastColumn="0" w:lastRowFirstColumn="0" w:lastRowLastColumn="0"/>
            </w:pPr>
          </w:p>
          <w:p w14:paraId="1CDE5D0D" w14:textId="77777777" w:rsidR="00634F7F" w:rsidRDefault="00634F7F" w:rsidP="00BB50C2">
            <w:pPr>
              <w:cnfStyle w:val="000000100000" w:firstRow="0" w:lastRow="0" w:firstColumn="0" w:lastColumn="0" w:oddVBand="0" w:evenVBand="0" w:oddHBand="1" w:evenHBand="0" w:firstRowFirstColumn="0" w:firstRowLastColumn="0" w:lastRowFirstColumn="0" w:lastRowLastColumn="0"/>
            </w:pPr>
          </w:p>
          <w:p w14:paraId="573BE751" w14:textId="77777777" w:rsidR="004A05E4" w:rsidRDefault="004A05E4" w:rsidP="00BB50C2">
            <w:pPr>
              <w:cnfStyle w:val="000000100000" w:firstRow="0" w:lastRow="0" w:firstColumn="0" w:lastColumn="0" w:oddVBand="0" w:evenVBand="0" w:oddHBand="1" w:evenHBand="0" w:firstRowFirstColumn="0" w:firstRowLastColumn="0" w:lastRowFirstColumn="0" w:lastRowLastColumn="0"/>
            </w:pPr>
          </w:p>
          <w:p w14:paraId="386654B9" w14:textId="77777777" w:rsidR="004A05E4" w:rsidRDefault="004A05E4" w:rsidP="00BB50C2">
            <w:pPr>
              <w:cnfStyle w:val="000000100000" w:firstRow="0" w:lastRow="0" w:firstColumn="0" w:lastColumn="0" w:oddVBand="0" w:evenVBand="0" w:oddHBand="1" w:evenHBand="0" w:firstRowFirstColumn="0" w:firstRowLastColumn="0" w:lastRowFirstColumn="0" w:lastRowLastColumn="0"/>
            </w:pPr>
          </w:p>
          <w:p w14:paraId="7C92D4B4" w14:textId="77777777" w:rsidR="004A05E4" w:rsidRDefault="004A05E4" w:rsidP="00BB50C2">
            <w:pPr>
              <w:cnfStyle w:val="000000100000" w:firstRow="0" w:lastRow="0" w:firstColumn="0" w:lastColumn="0" w:oddVBand="0" w:evenVBand="0" w:oddHBand="1" w:evenHBand="0" w:firstRowFirstColumn="0" w:firstRowLastColumn="0" w:lastRowFirstColumn="0" w:lastRowLastColumn="0"/>
            </w:pPr>
          </w:p>
          <w:p w14:paraId="295928B3" w14:textId="519FD1A8" w:rsidR="004A05E4" w:rsidRPr="007B06B6" w:rsidRDefault="004A05E4" w:rsidP="00BB50C2">
            <w:pPr>
              <w:cnfStyle w:val="000000100000" w:firstRow="0" w:lastRow="0" w:firstColumn="0" w:lastColumn="0" w:oddVBand="0" w:evenVBand="0" w:oddHBand="1" w:evenHBand="0" w:firstRowFirstColumn="0" w:firstRowLastColumn="0" w:lastRowFirstColumn="0" w:lastRowLastColumn="0"/>
            </w:pPr>
          </w:p>
        </w:tc>
        <w:tc>
          <w:tcPr>
            <w:tcW w:w="1701" w:type="dxa"/>
            <w:vAlign w:val="top"/>
          </w:tcPr>
          <w:p w14:paraId="5C7B2CB3" w14:textId="07E10B8A" w:rsidR="00180D5A" w:rsidRPr="007B06B6" w:rsidRDefault="00744DA9" w:rsidP="008F5869">
            <w:pPr>
              <w:pStyle w:val="Heading2"/>
              <w:cnfStyle w:val="000000100000" w:firstRow="0" w:lastRow="0" w:firstColumn="0" w:lastColumn="0" w:oddVBand="0" w:evenVBand="0" w:oddHBand="1" w:evenHBand="0" w:firstRowFirstColumn="0" w:firstRowLastColumn="0" w:lastRowFirstColumn="0" w:lastRowLastColumn="0"/>
              <w:rPr>
                <w:b/>
                <w:bCs/>
              </w:rPr>
            </w:pPr>
            <w:r w:rsidRPr="008F5869">
              <w:lastRenderedPageBreak/>
              <w:t xml:space="preserve">1 January 2026 </w:t>
            </w:r>
          </w:p>
        </w:tc>
      </w:tr>
      <w:tr w:rsidR="00275746" w:rsidRPr="00BB50C2" w14:paraId="2C8E56DB" w14:textId="77777777" w:rsidTr="00A25309">
        <w:trPr>
          <w:trHeight w:val="622"/>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vAlign w:val="top"/>
          </w:tcPr>
          <w:p w14:paraId="71634721" w14:textId="3ACEF437" w:rsidR="00275746" w:rsidRPr="008F5869" w:rsidRDefault="00275746" w:rsidP="00275746">
            <w:pPr>
              <w:pStyle w:val="Heading2"/>
            </w:pPr>
            <w:r w:rsidRPr="008F5869">
              <w:rPr>
                <w:b w:val="0"/>
                <w:bCs w:val="0"/>
                <w:lang w:val="en-US"/>
              </w:rPr>
              <w:t>IFRS 18</w:t>
            </w:r>
          </w:p>
        </w:tc>
        <w:tc>
          <w:tcPr>
            <w:tcW w:w="5812" w:type="dxa"/>
            <w:vAlign w:val="top"/>
          </w:tcPr>
          <w:p w14:paraId="307BA531" w14:textId="77777777" w:rsidR="00275746" w:rsidRPr="008F5869" w:rsidRDefault="00275746" w:rsidP="00275746">
            <w:pPr>
              <w:pStyle w:val="Heading2"/>
              <w:cnfStyle w:val="000000000000" w:firstRow="0" w:lastRow="0" w:firstColumn="0" w:lastColumn="0" w:oddVBand="0" w:evenVBand="0" w:oddHBand="0" w:evenHBand="0" w:firstRowFirstColumn="0" w:firstRowLastColumn="0" w:lastRowFirstColumn="0" w:lastRowLastColumn="0"/>
              <w:rPr>
                <w:i/>
                <w:iCs w:val="0"/>
                <w:lang w:val="en-US"/>
              </w:rPr>
            </w:pPr>
            <w:r w:rsidRPr="008F5869">
              <w:rPr>
                <w:i/>
                <w:iCs w:val="0"/>
                <w:lang w:val="en-US"/>
              </w:rPr>
              <w:t>Presentation and Disclosures of Financial Statements</w:t>
            </w:r>
          </w:p>
          <w:p w14:paraId="127D2005" w14:textId="77777777" w:rsidR="00275746" w:rsidRPr="00BB50C2" w:rsidRDefault="00275746" w:rsidP="00275746">
            <w:pPr>
              <w:pStyle w:val="Body1"/>
              <w:cnfStyle w:val="000000000000" w:firstRow="0" w:lastRow="0" w:firstColumn="0" w:lastColumn="0" w:oddVBand="0" w:evenVBand="0" w:oddHBand="0" w:evenHBand="0" w:firstRowFirstColumn="0" w:firstRowLastColumn="0" w:lastRowFirstColumn="0" w:lastRowLastColumn="0"/>
            </w:pPr>
            <w:r w:rsidRPr="00BB50C2">
              <w:t>This standard will replace IAS 1 Presentation of Financial Statements.  Whilst many of the requirements have been bought across without amendment. IFRS 18 introduces three key changes.</w:t>
            </w:r>
          </w:p>
          <w:p w14:paraId="654223C6" w14:textId="69272608" w:rsidR="00275746" w:rsidRPr="00BB50C2" w:rsidRDefault="00275746" w:rsidP="00275746">
            <w:pPr>
              <w:pStyle w:val="Body1"/>
              <w:cnfStyle w:val="000000000000" w:firstRow="0" w:lastRow="0" w:firstColumn="0" w:lastColumn="0" w:oddVBand="0" w:evenVBand="0" w:oddHBand="0" w:evenHBand="0" w:firstRowFirstColumn="0" w:firstRowLastColumn="0" w:lastRowFirstColumn="0" w:lastRowLastColumn="0"/>
            </w:pPr>
            <w:r w:rsidRPr="00BB50C2">
              <w:t>The statement of profit of loss will be required to be</w:t>
            </w:r>
            <w:r w:rsidR="006D1D9F">
              <w:t xml:space="preserve"> </w:t>
            </w:r>
            <w:proofErr w:type="gramStart"/>
            <w:r w:rsidR="0010302B">
              <w:t xml:space="preserve">classified </w:t>
            </w:r>
            <w:r w:rsidRPr="00BB50C2">
              <w:t xml:space="preserve"> into</w:t>
            </w:r>
            <w:proofErr w:type="gramEnd"/>
            <w:r w:rsidRPr="00BB50C2">
              <w:t xml:space="preserve"> three subsections, operating, </w:t>
            </w:r>
            <w:r w:rsidR="007D7DC9" w:rsidRPr="00BB50C2">
              <w:t>investing,</w:t>
            </w:r>
            <w:r w:rsidRPr="00BB50C2">
              <w:t xml:space="preserve"> and financing, </w:t>
            </w:r>
            <w:proofErr w:type="gramStart"/>
            <w:r w:rsidRPr="00BB50C2">
              <w:t>similar to</w:t>
            </w:r>
            <w:proofErr w:type="gramEnd"/>
            <w:r w:rsidRPr="00BB50C2">
              <w:t xml:space="preserve"> the layout of the cash flow statement.</w:t>
            </w:r>
          </w:p>
          <w:p w14:paraId="35635978" w14:textId="76F465BE" w:rsidR="00275746" w:rsidRPr="00BB50C2" w:rsidRDefault="00275746" w:rsidP="00275746">
            <w:pPr>
              <w:pStyle w:val="Body1"/>
              <w:cnfStyle w:val="000000000000" w:firstRow="0" w:lastRow="0" w:firstColumn="0" w:lastColumn="0" w:oddVBand="0" w:evenVBand="0" w:oddHBand="0" w:evenHBand="0" w:firstRowFirstColumn="0" w:firstRowLastColumn="0" w:lastRowFirstColumn="0" w:lastRowLastColumn="0"/>
            </w:pPr>
            <w:r w:rsidRPr="00BB50C2">
              <w:t xml:space="preserve">Management performance </w:t>
            </w:r>
            <w:r w:rsidR="00203C4D" w:rsidRPr="00BB50C2">
              <w:t>measures</w:t>
            </w:r>
            <w:r w:rsidRPr="00BB50C2">
              <w:t xml:space="preserve"> that are used by an entity in other communications, must now be included in a note to the financial statements including a reconciliation to the nearest IFRS equivalent measure.</w:t>
            </w:r>
          </w:p>
          <w:p w14:paraId="3F6C11B5" w14:textId="1DEAFFC3" w:rsidR="00275746" w:rsidRDefault="00275746" w:rsidP="00275746">
            <w:pPr>
              <w:pStyle w:val="Body1"/>
              <w:cnfStyle w:val="000000000000" w:firstRow="0" w:lastRow="0" w:firstColumn="0" w:lastColumn="0" w:oddVBand="0" w:evenVBand="0" w:oddHBand="0" w:evenHBand="0" w:firstRowFirstColumn="0" w:firstRowLastColumn="0" w:lastRowFirstColumn="0" w:lastRowLastColumn="0"/>
            </w:pPr>
            <w:r w:rsidRPr="00BB50C2">
              <w:rPr>
                <w:lang w:eastAsia="en-AU"/>
              </w:rPr>
              <w:lastRenderedPageBreak/>
              <w:t xml:space="preserve">Additional guidance is provided on how to aggregate and disaggregate information on the face of financial statements and the notes </w:t>
            </w:r>
            <w:r w:rsidR="0084268F" w:rsidRPr="00BB50C2">
              <w:rPr>
                <w:lang w:eastAsia="en-AU"/>
              </w:rPr>
              <w:t>to</w:t>
            </w:r>
            <w:r w:rsidRPr="00BB50C2">
              <w:rPr>
                <w:lang w:eastAsia="en-AU"/>
              </w:rPr>
              <w:t xml:space="preserve"> provide more detailed and useful information to users.</w:t>
            </w:r>
            <w:r w:rsidRPr="00BB50C2">
              <w:t xml:space="preserve"> </w:t>
            </w:r>
          </w:p>
          <w:p w14:paraId="2B536B3C" w14:textId="77777777" w:rsidR="008605F0" w:rsidRDefault="008605F0" w:rsidP="008605F0">
            <w:pPr>
              <w:pStyle w:val="Body1"/>
              <w:cnfStyle w:val="000000000000" w:firstRow="0" w:lastRow="0" w:firstColumn="0" w:lastColumn="0" w:oddVBand="0" w:evenVBand="0" w:oddHBand="0" w:evenHBand="0" w:firstRowFirstColumn="0" w:firstRowLastColumn="0" w:lastRowFirstColumn="0" w:lastRowLastColumn="0"/>
            </w:pPr>
            <w:r>
              <w:t xml:space="preserve">Some requirements previously included in IAS 1 have been moved to IAS 8 </w:t>
            </w:r>
            <w:r w:rsidRPr="00E93002">
              <w:rPr>
                <w:i/>
                <w:iCs/>
              </w:rPr>
              <w:t>Accounting Policies, Changes in Accounting Estimates and Errors</w:t>
            </w:r>
            <w:r>
              <w:t xml:space="preserve">, and limited amendments have been made to IAS 7 and IAS 34 </w:t>
            </w:r>
            <w:r w:rsidRPr="00E93002">
              <w:rPr>
                <w:i/>
                <w:iCs/>
              </w:rPr>
              <w:t>Interim Financial Reporting</w:t>
            </w:r>
            <w:r>
              <w:t>.</w:t>
            </w:r>
          </w:p>
          <w:p w14:paraId="41060F47" w14:textId="77777777" w:rsidR="008605F0" w:rsidRDefault="008605F0" w:rsidP="00275746">
            <w:pPr>
              <w:pStyle w:val="Body1"/>
              <w:cnfStyle w:val="000000000000" w:firstRow="0" w:lastRow="0" w:firstColumn="0" w:lastColumn="0" w:oddVBand="0" w:evenVBand="0" w:oddHBand="0" w:evenHBand="0" w:firstRowFirstColumn="0" w:firstRowLastColumn="0" w:lastRowFirstColumn="0" w:lastRowLastColumn="0"/>
            </w:pPr>
          </w:p>
          <w:p w14:paraId="08ACAD16" w14:textId="2FF020AD" w:rsidR="00275746" w:rsidRPr="008F5869" w:rsidRDefault="00275746" w:rsidP="00275746">
            <w:pPr>
              <w:pStyle w:val="Heading2"/>
              <w:cnfStyle w:val="000000000000" w:firstRow="0" w:lastRow="0" w:firstColumn="0" w:lastColumn="0" w:oddVBand="0" w:evenVBand="0" w:oddHBand="0" w:evenHBand="0" w:firstRowFirstColumn="0" w:firstRowLastColumn="0" w:lastRowFirstColumn="0" w:lastRowLastColumn="0"/>
            </w:pPr>
            <w:r>
              <w:t xml:space="preserve">IFRS 18 is applied retrospectively with the comparative period restated. </w:t>
            </w:r>
          </w:p>
        </w:tc>
        <w:tc>
          <w:tcPr>
            <w:tcW w:w="1701" w:type="dxa"/>
            <w:vAlign w:val="top"/>
          </w:tcPr>
          <w:p w14:paraId="6378CE47" w14:textId="2A22511C" w:rsidR="00275746" w:rsidRPr="008F5869" w:rsidRDefault="00275746" w:rsidP="00275746">
            <w:pPr>
              <w:pStyle w:val="Heading2"/>
              <w:cnfStyle w:val="000000000000" w:firstRow="0" w:lastRow="0" w:firstColumn="0" w:lastColumn="0" w:oddVBand="0" w:evenVBand="0" w:oddHBand="0" w:evenHBand="0" w:firstRowFirstColumn="0" w:firstRowLastColumn="0" w:lastRowFirstColumn="0" w:lastRowLastColumn="0"/>
            </w:pPr>
            <w:r w:rsidRPr="00BB50C2">
              <w:rPr>
                <w:lang w:val="en-US"/>
              </w:rPr>
              <w:lastRenderedPageBreak/>
              <w:t>1 January 2027</w:t>
            </w:r>
          </w:p>
        </w:tc>
      </w:tr>
      <w:tr w:rsidR="00275746" w:rsidRPr="00BB50C2" w14:paraId="32EDEC47" w14:textId="77777777" w:rsidTr="00A25309">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vAlign w:val="top"/>
          </w:tcPr>
          <w:p w14:paraId="118AC719" w14:textId="77777777" w:rsidR="00275746" w:rsidRPr="008F5869" w:rsidRDefault="00275746" w:rsidP="00275746">
            <w:pPr>
              <w:pStyle w:val="Heading2"/>
              <w:rPr>
                <w:b w:val="0"/>
                <w:bCs w:val="0"/>
              </w:rPr>
            </w:pPr>
            <w:r w:rsidRPr="008F5869">
              <w:rPr>
                <w:b w:val="0"/>
                <w:bCs w:val="0"/>
              </w:rPr>
              <w:t>IFRS 19</w:t>
            </w:r>
          </w:p>
        </w:tc>
        <w:tc>
          <w:tcPr>
            <w:tcW w:w="5812" w:type="dxa"/>
            <w:vAlign w:val="top"/>
          </w:tcPr>
          <w:p w14:paraId="1404C547" w14:textId="77777777" w:rsidR="00275746" w:rsidRPr="008F5869" w:rsidRDefault="00275746" w:rsidP="00275746">
            <w:pPr>
              <w:pStyle w:val="Heading2"/>
              <w:cnfStyle w:val="000000100000" w:firstRow="0" w:lastRow="0" w:firstColumn="0" w:lastColumn="0" w:oddVBand="0" w:evenVBand="0" w:oddHBand="1" w:evenHBand="0" w:firstRowFirstColumn="0" w:firstRowLastColumn="0" w:lastRowFirstColumn="0" w:lastRowLastColumn="0"/>
              <w:rPr>
                <w:b/>
                <w:bCs/>
              </w:rPr>
            </w:pPr>
            <w:r w:rsidRPr="008F5869">
              <w:t>Subsidiaries without Public Accountability: Disclosures</w:t>
            </w:r>
          </w:p>
          <w:p w14:paraId="7BD7DC6B" w14:textId="0899EC44" w:rsidR="00275746" w:rsidRDefault="00275746" w:rsidP="00275746">
            <w:pPr>
              <w:pStyle w:val="Body1"/>
              <w:cnfStyle w:val="000000100000" w:firstRow="0" w:lastRow="0" w:firstColumn="0" w:lastColumn="0" w:oddVBand="0" w:evenVBand="0" w:oddHBand="1" w:evenHBand="0" w:firstRowFirstColumn="0" w:firstRowLastColumn="0" w:lastRowFirstColumn="0" w:lastRowLastColumn="0"/>
            </w:pPr>
            <w:r w:rsidRPr="00BB50C2">
              <w:t xml:space="preserve">IFRS 19 is a voluntary standard that will not be required </w:t>
            </w:r>
            <w:proofErr w:type="gramStart"/>
            <w:r w:rsidRPr="00BB50C2">
              <w:t>in order to</w:t>
            </w:r>
            <w:proofErr w:type="gramEnd"/>
            <w:r w:rsidRPr="00BB50C2">
              <w:t xml:space="preserve"> claim compliance with IFRS Accounting Standards.  Subsidiaries without Public Accountability, who meet specific criteria, may apply this standard that provides reduced disclosure requirements instead of the disclosure requirements of other IFRS Accounting Standards.  Recognition and measurement criteria of other standards will still be required to be applied.  </w:t>
            </w:r>
          </w:p>
          <w:p w14:paraId="1610FB4E" w14:textId="3253115A" w:rsidR="00E77019" w:rsidRPr="00BB50C2" w:rsidRDefault="00E77019" w:rsidP="00275746">
            <w:pPr>
              <w:pStyle w:val="Body1"/>
              <w:cnfStyle w:val="000000100000" w:firstRow="0" w:lastRow="0" w:firstColumn="0" w:lastColumn="0" w:oddVBand="0" w:evenVBand="0" w:oddHBand="1" w:evenHBand="0" w:firstRowFirstColumn="0" w:firstRowLastColumn="0" w:lastRowFirstColumn="0" w:lastRowLastColumn="0"/>
            </w:pPr>
          </w:p>
        </w:tc>
        <w:tc>
          <w:tcPr>
            <w:tcW w:w="1701" w:type="dxa"/>
            <w:vAlign w:val="top"/>
          </w:tcPr>
          <w:p w14:paraId="24858FE4" w14:textId="77777777" w:rsidR="00275746" w:rsidRPr="008F5869" w:rsidRDefault="00275746" w:rsidP="00275746">
            <w:pPr>
              <w:pStyle w:val="Heading2"/>
              <w:cnfStyle w:val="000000100000" w:firstRow="0" w:lastRow="0" w:firstColumn="0" w:lastColumn="0" w:oddVBand="0" w:evenVBand="0" w:oddHBand="1" w:evenHBand="0" w:firstRowFirstColumn="0" w:firstRowLastColumn="0" w:lastRowFirstColumn="0" w:lastRowLastColumn="0"/>
              <w:rPr>
                <w:b/>
                <w:bCs/>
              </w:rPr>
            </w:pPr>
            <w:r w:rsidRPr="008F5869">
              <w:t>1 January 2027</w:t>
            </w:r>
          </w:p>
        </w:tc>
      </w:tr>
      <w:tr w:rsidR="00760DB7" w:rsidRPr="00BB50C2" w14:paraId="0892D74F" w14:textId="77777777" w:rsidTr="00542BD0">
        <w:trPr>
          <w:trHeight w:val="622"/>
        </w:trPr>
        <w:tc>
          <w:tcPr>
            <w:cnfStyle w:val="001000000000" w:firstRow="0" w:lastRow="0" w:firstColumn="1" w:lastColumn="0" w:oddVBand="0" w:evenVBand="0" w:oddHBand="0" w:evenHBand="0" w:firstRowFirstColumn="0" w:firstRowLastColumn="0" w:lastRowFirstColumn="0" w:lastRowLastColumn="0"/>
            <w:tcW w:w="1701" w:type="dxa"/>
            <w:shd w:val="clear" w:color="auto" w:fill="B9EDFF"/>
            <w:vAlign w:val="top"/>
          </w:tcPr>
          <w:p w14:paraId="3A1F772A" w14:textId="32253A40" w:rsidR="00760DB7" w:rsidRPr="008F5869" w:rsidRDefault="00760DB7" w:rsidP="00275746">
            <w:pPr>
              <w:pStyle w:val="Heading2"/>
            </w:pPr>
            <w:r>
              <w:t>Amendments to IFRS 19</w:t>
            </w:r>
          </w:p>
        </w:tc>
        <w:tc>
          <w:tcPr>
            <w:tcW w:w="5812" w:type="dxa"/>
            <w:shd w:val="clear" w:color="auto" w:fill="B9EDFF"/>
            <w:vAlign w:val="top"/>
          </w:tcPr>
          <w:p w14:paraId="62969B53" w14:textId="77777777" w:rsidR="00760DB7" w:rsidRDefault="004F08E3" w:rsidP="00275746">
            <w:pPr>
              <w:pStyle w:val="Heading2"/>
              <w:cnfStyle w:val="000000000000" w:firstRow="0" w:lastRow="0" w:firstColumn="0" w:lastColumn="0" w:oddVBand="0" w:evenVBand="0" w:oddHBand="0" w:evenHBand="0" w:firstRowFirstColumn="0" w:firstRowLastColumn="0" w:lastRowFirstColumn="0" w:lastRowLastColumn="0"/>
            </w:pPr>
            <w:r>
              <w:t xml:space="preserve">Catch up amendments to IFRS 19 </w:t>
            </w:r>
            <w:r>
              <w:rPr>
                <w:i/>
                <w:iCs w:val="0"/>
              </w:rPr>
              <w:t>Subsidiaries without Public Accountability: Disclosures</w:t>
            </w:r>
            <w:r>
              <w:t xml:space="preserve"> </w:t>
            </w:r>
          </w:p>
          <w:p w14:paraId="642B4E69" w14:textId="4E7025AF" w:rsidR="00B87B2B" w:rsidRPr="00B87B2B" w:rsidRDefault="00B87B2B" w:rsidP="00B87B2B">
            <w:pPr>
              <w:pStyle w:val="Heading2"/>
              <w:cnfStyle w:val="000000000000" w:firstRow="0" w:lastRow="0" w:firstColumn="0" w:lastColumn="0" w:oddVBand="0" w:evenVBand="0" w:oddHBand="0" w:evenHBand="0" w:firstRowFirstColumn="0" w:firstRowLastColumn="0" w:lastRowFirstColumn="0" w:lastRowLastColumn="0"/>
            </w:pPr>
            <w:r w:rsidRPr="00AD43D6">
              <w:rPr>
                <w:rFonts w:ascii="Montserrat" w:eastAsiaTheme="minorHAnsi" w:hAnsi="Montserrat"/>
                <w:iCs w:val="0"/>
                <w:szCs w:val="20"/>
                <w:lang w:val="en-US" w:eastAsia="en-US"/>
              </w:rPr>
              <w:t>Thes</w:t>
            </w:r>
            <w:r w:rsidR="00CB1733" w:rsidRPr="00AD43D6">
              <w:rPr>
                <w:rFonts w:ascii="Montserrat" w:eastAsiaTheme="minorHAnsi" w:hAnsi="Montserrat"/>
                <w:iCs w:val="0"/>
                <w:szCs w:val="20"/>
                <w:lang w:val="en-US" w:eastAsia="en-US"/>
              </w:rPr>
              <w:t xml:space="preserve">e amendments provide reduced disclosure requirements for any new or amended IFRS Accounting Standards that was </w:t>
            </w:r>
            <w:r w:rsidR="008109D1" w:rsidRPr="00AD43D6">
              <w:rPr>
                <w:rFonts w:ascii="Montserrat" w:eastAsiaTheme="minorHAnsi" w:hAnsi="Montserrat"/>
                <w:iCs w:val="0"/>
                <w:szCs w:val="20"/>
                <w:lang w:val="en-US" w:eastAsia="en-US"/>
              </w:rPr>
              <w:t>issued between February 2021 and May 2024, including IFRS 18</w:t>
            </w:r>
            <w:r w:rsidR="003C4483" w:rsidRPr="00AD43D6">
              <w:rPr>
                <w:rFonts w:ascii="Montserrat" w:eastAsiaTheme="minorHAnsi" w:hAnsi="Montserrat"/>
                <w:iCs w:val="0"/>
                <w:szCs w:val="20"/>
                <w:lang w:val="en-US" w:eastAsia="en-US"/>
              </w:rPr>
              <w:t>, supplier finance arrangements, lack of exchang</w:t>
            </w:r>
            <w:r w:rsidR="00E77019">
              <w:rPr>
                <w:rFonts w:ascii="Montserrat" w:eastAsiaTheme="minorHAnsi" w:hAnsi="Montserrat"/>
                <w:iCs w:val="0"/>
                <w:szCs w:val="20"/>
                <w:lang w:val="en-US" w:eastAsia="en-US"/>
              </w:rPr>
              <w:t>e</w:t>
            </w:r>
            <w:r w:rsidR="003C4483" w:rsidRPr="00AD43D6">
              <w:rPr>
                <w:rFonts w:ascii="Montserrat" w:eastAsiaTheme="minorHAnsi" w:hAnsi="Montserrat"/>
                <w:iCs w:val="0"/>
                <w:szCs w:val="20"/>
                <w:lang w:val="en-US" w:eastAsia="en-US"/>
              </w:rPr>
              <w:t>ability, Pillar Two model rules, classification and measurement of financial instruments and non-current liabilities with covenants</w:t>
            </w:r>
            <w:r w:rsidR="003C4483">
              <w:t xml:space="preserve"> </w:t>
            </w:r>
          </w:p>
        </w:tc>
        <w:tc>
          <w:tcPr>
            <w:tcW w:w="1701" w:type="dxa"/>
            <w:shd w:val="clear" w:color="auto" w:fill="B9EDFF"/>
            <w:vAlign w:val="top"/>
          </w:tcPr>
          <w:p w14:paraId="6C6C0F46" w14:textId="6411F3AF" w:rsidR="00760DB7" w:rsidRPr="008F5869" w:rsidRDefault="003C4483" w:rsidP="00275746">
            <w:pPr>
              <w:pStyle w:val="Heading2"/>
              <w:cnfStyle w:val="000000000000" w:firstRow="0" w:lastRow="0" w:firstColumn="0" w:lastColumn="0" w:oddVBand="0" w:evenVBand="0" w:oddHBand="0" w:evenHBand="0" w:firstRowFirstColumn="0" w:firstRowLastColumn="0" w:lastRowFirstColumn="0" w:lastRowLastColumn="0"/>
            </w:pPr>
            <w:r>
              <w:t>1 January 2027</w:t>
            </w:r>
          </w:p>
        </w:tc>
      </w:tr>
      <w:tr w:rsidR="00275746" w:rsidRPr="00BB50C2" w14:paraId="37C89ACE" w14:textId="77777777" w:rsidTr="00A25309">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vAlign w:val="top"/>
            <w:hideMark/>
          </w:tcPr>
          <w:p w14:paraId="7A4B8FC5" w14:textId="2BBDD025" w:rsidR="00275746" w:rsidRPr="008F5869" w:rsidRDefault="00275746" w:rsidP="00275746">
            <w:pPr>
              <w:pStyle w:val="Heading2"/>
              <w:rPr>
                <w:b w:val="0"/>
                <w:bCs w:val="0"/>
              </w:rPr>
            </w:pPr>
            <w:r w:rsidRPr="008F5869">
              <w:rPr>
                <w:b w:val="0"/>
                <w:bCs w:val="0"/>
              </w:rPr>
              <w:t xml:space="preserve">Amendments to IFRS 10 and IAS 28 </w:t>
            </w:r>
          </w:p>
        </w:tc>
        <w:tc>
          <w:tcPr>
            <w:tcW w:w="5812" w:type="dxa"/>
            <w:vAlign w:val="top"/>
            <w:hideMark/>
          </w:tcPr>
          <w:p w14:paraId="328CAB29" w14:textId="77777777" w:rsidR="00275746" w:rsidRPr="00BB50C2" w:rsidRDefault="00275746" w:rsidP="00275746">
            <w:pPr>
              <w:pStyle w:val="Heading2"/>
              <w:cnfStyle w:val="000000100000" w:firstRow="0" w:lastRow="0" w:firstColumn="0" w:lastColumn="0" w:oddVBand="0" w:evenVBand="0" w:oddHBand="1" w:evenHBand="0" w:firstRowFirstColumn="0" w:firstRowLastColumn="0" w:lastRowFirstColumn="0" w:lastRowLastColumn="0"/>
            </w:pPr>
            <w:r w:rsidRPr="00BB50C2">
              <w:t>Sale or contribution of assets between an investor and its associates or joint venture</w:t>
            </w:r>
          </w:p>
          <w:p w14:paraId="4929C4C3" w14:textId="721BE0D1" w:rsidR="00275746" w:rsidRPr="00BB50C2" w:rsidRDefault="00275746" w:rsidP="00275746">
            <w:pPr>
              <w:pStyle w:val="Body1"/>
              <w:cnfStyle w:val="000000100000" w:firstRow="0" w:lastRow="0" w:firstColumn="0" w:lastColumn="0" w:oddVBand="0" w:evenVBand="0" w:oddHBand="1" w:evenHBand="0" w:firstRowFirstColumn="0" w:firstRowLastColumn="0" w:lastRowFirstColumn="0" w:lastRowLastColumn="0"/>
            </w:pPr>
            <w:r w:rsidRPr="00BB50C2">
              <w:t>These amendments update IFRS 10 and IAS 28 to address an inconsistency between the requirements in IFRS 10 and those in IAS 28 (August 2011), in dealing with the sale or contribution of assets between an investor and its associate or joint venture. The amendments require:</w:t>
            </w:r>
          </w:p>
          <w:p w14:paraId="626E51B1" w14:textId="77777777" w:rsidR="00275746" w:rsidRPr="00BB50C2" w:rsidRDefault="00275746" w:rsidP="00275746">
            <w:pPr>
              <w:pStyle w:val="Body1"/>
              <w:cnfStyle w:val="000000100000" w:firstRow="0" w:lastRow="0" w:firstColumn="0" w:lastColumn="0" w:oddVBand="0" w:evenVBand="0" w:oddHBand="1" w:evenHBand="0" w:firstRowFirstColumn="0" w:firstRowLastColumn="0" w:lastRowFirstColumn="0" w:lastRowLastColumn="0"/>
            </w:pPr>
            <w:r w:rsidRPr="00BB50C2">
              <w:lastRenderedPageBreak/>
              <w:t xml:space="preserve">a full gain or loss to be </w:t>
            </w:r>
            <w:proofErr w:type="spellStart"/>
            <w:r w:rsidRPr="00BB50C2">
              <w:t>recognised</w:t>
            </w:r>
            <w:proofErr w:type="spellEnd"/>
            <w:r w:rsidRPr="00BB50C2">
              <w:t xml:space="preserve"> when a transaction involves a business (whether it is housed in a subsidiary or not); and</w:t>
            </w:r>
          </w:p>
          <w:p w14:paraId="3D40DFDF" w14:textId="77777777" w:rsidR="00275746" w:rsidRPr="00BB50C2" w:rsidRDefault="00275746" w:rsidP="00275746">
            <w:pPr>
              <w:pStyle w:val="Body1"/>
              <w:cnfStyle w:val="000000100000" w:firstRow="0" w:lastRow="0" w:firstColumn="0" w:lastColumn="0" w:oddVBand="0" w:evenVBand="0" w:oddHBand="1" w:evenHBand="0" w:firstRowFirstColumn="0" w:firstRowLastColumn="0" w:lastRowFirstColumn="0" w:lastRowLastColumn="0"/>
            </w:pPr>
            <w:r w:rsidRPr="00BB50C2">
              <w:t xml:space="preserve">a partial gain or loss to be </w:t>
            </w:r>
            <w:proofErr w:type="spellStart"/>
            <w:r w:rsidRPr="00BB50C2">
              <w:t>recognised</w:t>
            </w:r>
            <w:proofErr w:type="spellEnd"/>
            <w:r w:rsidRPr="00BB50C2">
              <w:t xml:space="preserve"> when a transaction involves assets that do not constitute a business, even if these assets are housed in a subsidiary.</w:t>
            </w:r>
          </w:p>
        </w:tc>
        <w:tc>
          <w:tcPr>
            <w:tcW w:w="1701" w:type="dxa"/>
            <w:vAlign w:val="top"/>
            <w:hideMark/>
          </w:tcPr>
          <w:p w14:paraId="7CD94F6A" w14:textId="77777777" w:rsidR="00275746" w:rsidRPr="00BB50C2" w:rsidRDefault="00275746" w:rsidP="00275746">
            <w:pPr>
              <w:pStyle w:val="Heading2"/>
              <w:cnfStyle w:val="000000100000" w:firstRow="0" w:lastRow="0" w:firstColumn="0" w:lastColumn="0" w:oddVBand="0" w:evenVBand="0" w:oddHBand="1" w:evenHBand="0" w:firstRowFirstColumn="0" w:firstRowLastColumn="0" w:lastRowFirstColumn="0" w:lastRowLastColumn="0"/>
            </w:pPr>
            <w:r w:rsidRPr="00BB50C2">
              <w:lastRenderedPageBreak/>
              <w:t>Deferred until IASB finalises its research project on the equity method</w:t>
            </w:r>
          </w:p>
        </w:tc>
      </w:tr>
    </w:tbl>
    <w:p w14:paraId="35414796" w14:textId="77777777" w:rsidR="00933B0D" w:rsidRPr="00BB50C2" w:rsidRDefault="00933B0D" w:rsidP="00BB50C2">
      <w:r w:rsidRPr="00BB50C2">
        <w:br w:type="page"/>
      </w:r>
    </w:p>
    <w:p w14:paraId="058E6B55" w14:textId="2954CCCB" w:rsidR="00534BF3" w:rsidRPr="00BB50C2" w:rsidRDefault="00534BF3" w:rsidP="00FC52E4">
      <w:pPr>
        <w:pStyle w:val="Heading1"/>
      </w:pPr>
      <w:r w:rsidRPr="00BB50C2">
        <w:lastRenderedPageBreak/>
        <w:t>IFRIC PROUNOUNCEMENTS</w:t>
      </w:r>
    </w:p>
    <w:p w14:paraId="43B861A3" w14:textId="1AB5F8E0" w:rsidR="00534BF3" w:rsidRPr="00BB50C2" w:rsidRDefault="00534BF3" w:rsidP="00FC52E4">
      <w:pPr>
        <w:pStyle w:val="Body1"/>
      </w:pPr>
      <w:r w:rsidRPr="00BB50C2">
        <w:t xml:space="preserve">The IFRS Interpretations Committee (IFRIC) is </w:t>
      </w:r>
      <w:r w:rsidR="00723343" w:rsidRPr="00BB50C2">
        <w:t xml:space="preserve">the </w:t>
      </w:r>
      <w:r w:rsidRPr="00BB50C2">
        <w:t xml:space="preserve">interpretive body of the IASB Board that assists with supporting the consistent application of the IFRS Accounting Standards.    IFRIC did not release any Interpretations this year but did release </w:t>
      </w:r>
      <w:proofErr w:type="gramStart"/>
      <w:r w:rsidRPr="00BB50C2">
        <w:t>a number of</w:t>
      </w:r>
      <w:proofErr w:type="gramEnd"/>
      <w:r w:rsidRPr="00BB50C2">
        <w:t xml:space="preserve"> IFRIC Agenda Decisions.  </w:t>
      </w:r>
    </w:p>
    <w:p w14:paraId="1386882E" w14:textId="77777777" w:rsidR="00534BF3" w:rsidRPr="00BB50C2" w:rsidRDefault="00534BF3" w:rsidP="00FC52E4">
      <w:pPr>
        <w:pStyle w:val="Body1"/>
      </w:pPr>
      <w:r w:rsidRPr="00BB50C2">
        <w:t xml:space="preserve">The IASB has stated that </w:t>
      </w:r>
      <w:proofErr w:type="spellStart"/>
      <w:r w:rsidRPr="00BB50C2">
        <w:t>organisations</w:t>
      </w:r>
      <w:proofErr w:type="spellEnd"/>
      <w:r w:rsidRPr="00BB50C2">
        <w:t xml:space="preserve"> that are required to comply with the requirements of IFRS should also apply with the requirements of IFRIC Agenda Decisions. Whilst these Agenda Decisions do not change the requirements of IFRSs they are supporting explanatory material that clarify how the requirements of the IFRSs should be applied and are considered to have the same authority as the standards themselves.</w:t>
      </w:r>
    </w:p>
    <w:p w14:paraId="778351D9" w14:textId="77777777" w:rsidR="00534BF3" w:rsidRPr="00BB50C2" w:rsidRDefault="00534BF3" w:rsidP="00FC52E4">
      <w:pPr>
        <w:pStyle w:val="Body1"/>
      </w:pPr>
      <w:r w:rsidRPr="00BB50C2">
        <w:t xml:space="preserve">IFRIC Agenda Decisions have no mandatory application date and are effective once confirmed by the IASB, however entities are allowed ‘sufficient time’ to consider and implement the Agenda Decisions.  It is expected that this ‘sufficient time’ should be a matter of months and not years.  If your </w:t>
      </w:r>
      <w:proofErr w:type="spellStart"/>
      <w:r w:rsidRPr="00BB50C2">
        <w:t>organisation</w:t>
      </w:r>
      <w:proofErr w:type="spellEnd"/>
      <w:r w:rsidRPr="00BB50C2">
        <w:t xml:space="preserve"> </w:t>
      </w:r>
      <w:proofErr w:type="gramStart"/>
      <w:r w:rsidRPr="00BB50C2">
        <w:t>is not able to</w:t>
      </w:r>
      <w:proofErr w:type="gramEnd"/>
      <w:r w:rsidRPr="00BB50C2">
        <w:t xml:space="preserve"> comply with the requirements of a relevant Agenda Decision issued during the year, you should discuss the implications with your Auditor.  </w:t>
      </w:r>
    </w:p>
    <w:p w14:paraId="03E7FB08" w14:textId="6B423F06" w:rsidR="00534BF3" w:rsidRPr="00BB50C2" w:rsidRDefault="00534BF3" w:rsidP="00FC52E4">
      <w:pPr>
        <w:pStyle w:val="Body1"/>
      </w:pPr>
      <w:r w:rsidRPr="00BB50C2">
        <w:t xml:space="preserve">All IFRIC Agenda Decisions should be applied retrospectively as a change in accounting policy in accordance with the requirements of </w:t>
      </w:r>
      <w:r w:rsidR="00ED38C4" w:rsidRPr="00BB50C2">
        <w:t xml:space="preserve">IAS </w:t>
      </w:r>
      <w:r w:rsidRPr="00BB50C2">
        <w:t xml:space="preserve">8 Accounting Policies, change in estimates and Errors. </w:t>
      </w:r>
    </w:p>
    <w:p w14:paraId="62D2188F" w14:textId="1A9FF685" w:rsidR="007E4DA8" w:rsidRPr="00BB50C2" w:rsidRDefault="007E4DA8" w:rsidP="00FC52E4">
      <w:pPr>
        <w:pStyle w:val="Body1"/>
      </w:pPr>
      <w:r w:rsidRPr="00BB50C2">
        <w:t xml:space="preserve">The following is a detailed summary of the IFRIC Agenda Decisions </w:t>
      </w:r>
      <w:proofErr w:type="gramStart"/>
      <w:r w:rsidRPr="00BB50C2">
        <w:t>since</w:t>
      </w:r>
      <w:proofErr w:type="gramEnd"/>
      <w:r w:rsidRPr="00BB50C2">
        <w:t xml:space="preserve"> 1 November </w:t>
      </w:r>
      <w:r w:rsidR="00EF7675" w:rsidRPr="00BB50C2">
        <w:t>202</w:t>
      </w:r>
      <w:r w:rsidR="00EF7675">
        <w:t>4</w:t>
      </w:r>
      <w:r w:rsidRPr="00BB50C2">
        <w:t>.  For the full details, refer to the relevant IFRIC Update:</w:t>
      </w:r>
    </w:p>
    <w:p w14:paraId="4FF542FF" w14:textId="77777777" w:rsidR="003A7377" w:rsidRPr="00BB50C2" w:rsidRDefault="003A7377" w:rsidP="00BB50C2"/>
    <w:p w14:paraId="1C86C3DA" w14:textId="03587D80" w:rsidR="00534BF3" w:rsidRDefault="007D765D" w:rsidP="00086082">
      <w:pPr>
        <w:pStyle w:val="bulletheading"/>
        <w:numPr>
          <w:ilvl w:val="0"/>
          <w:numId w:val="0"/>
        </w:numPr>
        <w:ind w:left="360"/>
        <w:rPr>
          <w:rFonts w:ascii="Montserrat" w:hAnsi="Montserrat"/>
        </w:rPr>
      </w:pPr>
      <w:bookmarkStart w:id="0" w:name="_Hlk196821878"/>
      <w:r>
        <w:t>Classification of Cash Flows related to Variation Margin Calls on ‘</w:t>
      </w:r>
      <w:proofErr w:type="spellStart"/>
      <w:r>
        <w:t>Collateralised</w:t>
      </w:r>
      <w:proofErr w:type="spellEnd"/>
      <w:r>
        <w:t xml:space="preserve">-to-Market’ Contracts (IAS 7 </w:t>
      </w:r>
      <w:r w:rsidRPr="00086082">
        <w:rPr>
          <w:i/>
          <w:iCs/>
        </w:rPr>
        <w:t>Statement of Cash Flows)</w:t>
      </w:r>
      <w:r w:rsidR="002A6F42" w:rsidRPr="00086082">
        <w:rPr>
          <w:i/>
          <w:iCs/>
        </w:rPr>
        <w:br/>
      </w:r>
      <w:r w:rsidRPr="00086082">
        <w:rPr>
          <w:i/>
          <w:iCs/>
        </w:rPr>
        <w:t xml:space="preserve">November </w:t>
      </w:r>
      <w:r w:rsidR="002A6F42" w:rsidRPr="00086082">
        <w:rPr>
          <w:i/>
          <w:iCs/>
        </w:rPr>
        <w:t xml:space="preserve">2024 IFRIC, confirmed by the IASB </w:t>
      </w:r>
      <w:r w:rsidRPr="00086082">
        <w:rPr>
          <w:i/>
          <w:iCs/>
        </w:rPr>
        <w:t xml:space="preserve">February </w:t>
      </w:r>
      <w:r w:rsidR="002A6F42" w:rsidRPr="00086082">
        <w:rPr>
          <w:i/>
          <w:iCs/>
        </w:rPr>
        <w:t>202</w:t>
      </w:r>
      <w:r w:rsidRPr="00086082">
        <w:rPr>
          <w:i/>
          <w:iCs/>
        </w:rPr>
        <w:t>5</w:t>
      </w:r>
      <w:r w:rsidR="002A6F42" w:rsidRPr="00086082">
        <w:rPr>
          <w:i/>
          <w:iCs/>
        </w:rPr>
        <w:t>.</w:t>
      </w:r>
      <w:r w:rsidR="002A6F42" w:rsidRPr="00086082">
        <w:rPr>
          <w:rFonts w:ascii="Montserrat" w:hAnsi="Montserrat"/>
        </w:rPr>
        <w:t xml:space="preserve">IFRIC </w:t>
      </w:r>
      <w:r w:rsidR="00E27FDF" w:rsidRPr="00086082">
        <w:rPr>
          <w:rFonts w:ascii="Montserrat" w:hAnsi="Montserrat"/>
        </w:rPr>
        <w:t xml:space="preserve">was asked about how an entity presents, in its statement of cash flows, the cash flows related to variation margin call payments made on contracts to purchase or sell commodities at a predetermined price and at a specified time in the future.  </w:t>
      </w:r>
      <w:r w:rsidR="001D71C1" w:rsidRPr="00086082">
        <w:rPr>
          <w:rFonts w:ascii="Montserrat" w:hAnsi="Montserrat"/>
        </w:rPr>
        <w:t xml:space="preserve"> </w:t>
      </w:r>
      <w:r w:rsidR="00F66465" w:rsidRPr="00086082">
        <w:rPr>
          <w:rFonts w:ascii="Montserrat" w:hAnsi="Montserrat"/>
        </w:rPr>
        <w:t>IFRIC found that this issue was not widespread an</w:t>
      </w:r>
      <w:r w:rsidR="007214BF" w:rsidRPr="00086082">
        <w:rPr>
          <w:rFonts w:ascii="Montserrat" w:hAnsi="Montserrat"/>
        </w:rPr>
        <w:t xml:space="preserve">d concluded that no further action was required. </w:t>
      </w:r>
      <w:r w:rsidR="00F66465" w:rsidRPr="00086082">
        <w:rPr>
          <w:rFonts w:ascii="Montserrat" w:hAnsi="Montserrat"/>
        </w:rPr>
        <w:t xml:space="preserve"> </w:t>
      </w:r>
      <w:bookmarkEnd w:id="0"/>
      <w:r w:rsidR="00261F7A">
        <w:rPr>
          <w:rFonts w:ascii="Montserrat" w:hAnsi="Montserrat"/>
        </w:rPr>
        <w:br/>
      </w:r>
    </w:p>
    <w:p w14:paraId="73314D8B" w14:textId="77777777" w:rsidR="00627858" w:rsidRPr="00261F7A" w:rsidRDefault="00627858" w:rsidP="00627858">
      <w:pPr>
        <w:pStyle w:val="bulletheading"/>
        <w:rPr>
          <w:i/>
          <w:iCs/>
        </w:rPr>
      </w:pPr>
      <w:r>
        <w:t xml:space="preserve">Recognition of Revenue from Tuition Fees (IFRS 15 </w:t>
      </w:r>
      <w:r>
        <w:rPr>
          <w:i/>
          <w:iCs/>
        </w:rPr>
        <w:t xml:space="preserve">Revenue from Contracts with Customers) </w:t>
      </w:r>
      <w:r w:rsidRPr="0060579C">
        <w:t xml:space="preserve"> </w:t>
      </w:r>
      <w:r w:rsidRPr="0060579C">
        <w:rPr>
          <w:i/>
          <w:iCs/>
        </w:rPr>
        <w:br/>
        <w:t>March 2025 IFRIC, confirmed by the IASB April 2025.</w:t>
      </w:r>
      <w:r>
        <w:rPr>
          <w:i/>
          <w:iCs/>
        </w:rPr>
        <w:br/>
      </w:r>
      <w:r w:rsidRPr="00086082">
        <w:rPr>
          <w:rFonts w:ascii="Montserrat" w:hAnsi="Montserrat"/>
        </w:rPr>
        <w:t xml:space="preserve">IFRIC was asked over what period educational providers </w:t>
      </w:r>
      <w:proofErr w:type="spellStart"/>
      <w:r w:rsidRPr="00086082">
        <w:rPr>
          <w:rFonts w:ascii="Montserrat" w:hAnsi="Montserrat"/>
        </w:rPr>
        <w:t>recognise</w:t>
      </w:r>
      <w:proofErr w:type="spellEnd"/>
      <w:r w:rsidRPr="00086082">
        <w:rPr>
          <w:rFonts w:ascii="Montserrat" w:hAnsi="Montserrat"/>
        </w:rPr>
        <w:t xml:space="preserve"> their tuition fees, the academic year (approximately 10 months) or the full 12-month year.   IFRIC found that there was no diversity in practice, and difference arose from differences in facts and circumstances rather than the application of the principles of IFRS 15.  It was concluded that the issue was therefore not widespread and concluded that no further action was necessary.  </w:t>
      </w:r>
    </w:p>
    <w:p w14:paraId="115DAB71" w14:textId="77777777" w:rsidR="00627858" w:rsidRDefault="00627858" w:rsidP="00086082">
      <w:pPr>
        <w:pStyle w:val="bulletheading"/>
        <w:numPr>
          <w:ilvl w:val="0"/>
          <w:numId w:val="0"/>
        </w:numPr>
        <w:ind w:left="360"/>
        <w:rPr>
          <w:rFonts w:ascii="Montserrat" w:hAnsi="Montserrat"/>
        </w:rPr>
      </w:pPr>
    </w:p>
    <w:p w14:paraId="78BFD24C" w14:textId="77777777" w:rsidR="00627858" w:rsidRDefault="00627858" w:rsidP="00086082">
      <w:pPr>
        <w:pStyle w:val="bulletheading"/>
        <w:numPr>
          <w:ilvl w:val="0"/>
          <w:numId w:val="0"/>
        </w:numPr>
        <w:ind w:left="360"/>
        <w:rPr>
          <w:rFonts w:ascii="Montserrat" w:hAnsi="Montserrat"/>
        </w:rPr>
      </w:pPr>
    </w:p>
    <w:p w14:paraId="5F4274E0" w14:textId="77777777" w:rsidR="00627858" w:rsidRDefault="00627858" w:rsidP="00086082">
      <w:pPr>
        <w:pStyle w:val="bulletheading"/>
        <w:numPr>
          <w:ilvl w:val="0"/>
          <w:numId w:val="0"/>
        </w:numPr>
        <w:ind w:left="360"/>
        <w:rPr>
          <w:rFonts w:ascii="Montserrat" w:hAnsi="Montserrat"/>
        </w:rPr>
      </w:pPr>
    </w:p>
    <w:p w14:paraId="3D7A48F8" w14:textId="77777777" w:rsidR="009E38C8" w:rsidRPr="00086082" w:rsidRDefault="009E38C8" w:rsidP="00086082">
      <w:pPr>
        <w:pStyle w:val="bulletheading"/>
        <w:numPr>
          <w:ilvl w:val="0"/>
          <w:numId w:val="0"/>
        </w:numPr>
        <w:ind w:left="360"/>
        <w:rPr>
          <w:rFonts w:ascii="Montserrat" w:hAnsi="Montserrat"/>
        </w:rPr>
      </w:pPr>
    </w:p>
    <w:p w14:paraId="7E68F148" w14:textId="77777777" w:rsidR="0061015E" w:rsidRPr="0061015E" w:rsidRDefault="00B10F5F" w:rsidP="00D300BA">
      <w:pPr>
        <w:pStyle w:val="bulletheading"/>
      </w:pPr>
      <w:r w:rsidRPr="0060579C">
        <w:t xml:space="preserve">Guarantees </w:t>
      </w:r>
      <w:r w:rsidR="006B0338" w:rsidRPr="0060579C">
        <w:t xml:space="preserve">Issued on Obligations of Other Entities </w:t>
      </w:r>
      <w:r w:rsidR="007D765D" w:rsidRPr="004A3AC9">
        <w:rPr>
          <w:i/>
          <w:iCs/>
        </w:rPr>
        <w:br/>
      </w:r>
      <w:r w:rsidR="0060579C" w:rsidRPr="004A3AC9">
        <w:rPr>
          <w:i/>
          <w:iCs/>
        </w:rPr>
        <w:t xml:space="preserve">March 2025 </w:t>
      </w:r>
      <w:r w:rsidR="007D765D" w:rsidRPr="004A3AC9">
        <w:rPr>
          <w:i/>
          <w:iCs/>
        </w:rPr>
        <w:t xml:space="preserve">IFRIC, confirmed by the IASB </w:t>
      </w:r>
      <w:r w:rsidR="0060579C" w:rsidRPr="004A3AC9">
        <w:rPr>
          <w:i/>
          <w:iCs/>
        </w:rPr>
        <w:t xml:space="preserve">April </w:t>
      </w:r>
      <w:r w:rsidR="007D765D" w:rsidRPr="004A3AC9">
        <w:rPr>
          <w:i/>
          <w:iCs/>
        </w:rPr>
        <w:t>202</w:t>
      </w:r>
      <w:r w:rsidR="0060579C" w:rsidRPr="004A3AC9">
        <w:rPr>
          <w:i/>
          <w:iCs/>
        </w:rPr>
        <w:t>5</w:t>
      </w:r>
      <w:r w:rsidR="007D765D" w:rsidRPr="004A3AC9">
        <w:rPr>
          <w:i/>
          <w:iCs/>
        </w:rPr>
        <w:t>.</w:t>
      </w:r>
      <w:r w:rsidR="00086082" w:rsidRPr="004A3AC9">
        <w:rPr>
          <w:i/>
          <w:iCs/>
        </w:rPr>
        <w:br/>
      </w:r>
      <w:r w:rsidR="007D765D" w:rsidRPr="004A3AC9">
        <w:rPr>
          <w:rFonts w:ascii="Montserrat" w:hAnsi="Montserrat"/>
        </w:rPr>
        <w:t xml:space="preserve">IFRIC was asked how an entity </w:t>
      </w:r>
      <w:r w:rsidR="004A3AC9">
        <w:rPr>
          <w:rFonts w:ascii="Montserrat" w:hAnsi="Montserrat"/>
        </w:rPr>
        <w:t>accounts for guarantees that it issues</w:t>
      </w:r>
      <w:r w:rsidR="00B63B8D">
        <w:rPr>
          <w:rFonts w:ascii="Montserrat" w:hAnsi="Montserrat"/>
        </w:rPr>
        <w:t xml:space="preserve">.  The fact pattern outlined </w:t>
      </w:r>
      <w:proofErr w:type="gramStart"/>
      <w:r w:rsidR="00B63B8D">
        <w:rPr>
          <w:rFonts w:ascii="Montserrat" w:hAnsi="Montserrat"/>
        </w:rPr>
        <w:t>a number of</w:t>
      </w:r>
      <w:proofErr w:type="gramEnd"/>
      <w:r w:rsidR="00B63B8D">
        <w:rPr>
          <w:rFonts w:ascii="Montserrat" w:hAnsi="Montserrat"/>
        </w:rPr>
        <w:t xml:space="preserve"> different guarantees that </w:t>
      </w:r>
      <w:r w:rsidR="004E0263">
        <w:rPr>
          <w:rFonts w:ascii="Montserrat" w:hAnsi="Montserrat"/>
        </w:rPr>
        <w:t xml:space="preserve">an entity might issue in relation to the obligations of a joint venture.  Rather than </w:t>
      </w:r>
      <w:proofErr w:type="gramStart"/>
      <w:r w:rsidR="004E0263">
        <w:rPr>
          <w:rFonts w:ascii="Montserrat" w:hAnsi="Montserrat"/>
        </w:rPr>
        <w:t>conclude on</w:t>
      </w:r>
      <w:proofErr w:type="gramEnd"/>
      <w:r w:rsidR="004E0263">
        <w:rPr>
          <w:rFonts w:ascii="Montserrat" w:hAnsi="Montserrat"/>
        </w:rPr>
        <w:t xml:space="preserve"> each individual </w:t>
      </w:r>
      <w:r w:rsidR="0014301D">
        <w:rPr>
          <w:rFonts w:ascii="Montserrat" w:hAnsi="Montserrat"/>
        </w:rPr>
        <w:t xml:space="preserve">scenario, IFRIC noted that in practice guarantees have varying terms and </w:t>
      </w:r>
      <w:proofErr w:type="gramStart"/>
      <w:r w:rsidR="0014301D">
        <w:rPr>
          <w:rFonts w:ascii="Montserrat" w:hAnsi="Montserrat"/>
        </w:rPr>
        <w:t xml:space="preserve">conditions, </w:t>
      </w:r>
      <w:r w:rsidR="0070130D">
        <w:rPr>
          <w:rFonts w:ascii="Montserrat" w:hAnsi="Montserrat"/>
        </w:rPr>
        <w:t>but</w:t>
      </w:r>
      <w:proofErr w:type="gramEnd"/>
      <w:r w:rsidR="0070130D">
        <w:rPr>
          <w:rFonts w:ascii="Montserrat" w:hAnsi="Montserrat"/>
        </w:rPr>
        <w:t xml:space="preserve"> indicated that the following approach should be used to determine the appropriate accounting </w:t>
      </w:r>
      <w:r w:rsidR="0070130D">
        <w:rPr>
          <w:rFonts w:ascii="Montserrat" w:hAnsi="Montserrat"/>
        </w:rPr>
        <w:lastRenderedPageBreak/>
        <w:t>treatment for guarantees</w:t>
      </w:r>
      <w:r w:rsidR="00BF34FC">
        <w:rPr>
          <w:rFonts w:ascii="Montserrat" w:hAnsi="Montserrat"/>
        </w:rPr>
        <w:t>, as judgement will be required</w:t>
      </w:r>
      <w:r w:rsidR="00C26370">
        <w:rPr>
          <w:rFonts w:ascii="Montserrat" w:hAnsi="Montserrat"/>
        </w:rPr>
        <w:t xml:space="preserve">.  </w:t>
      </w:r>
      <w:r w:rsidR="007F7646">
        <w:rPr>
          <w:rFonts w:ascii="Montserrat" w:hAnsi="Montserrat"/>
        </w:rPr>
        <w:t xml:space="preserve">Accounting should be based on the requirements </w:t>
      </w:r>
      <w:proofErr w:type="gramStart"/>
      <w:r w:rsidR="007F7646">
        <w:rPr>
          <w:rFonts w:ascii="Montserrat" w:hAnsi="Montserrat"/>
        </w:rPr>
        <w:t>including scoping</w:t>
      </w:r>
      <w:proofErr w:type="gramEnd"/>
      <w:r w:rsidR="007F7646">
        <w:rPr>
          <w:rFonts w:ascii="Montserrat" w:hAnsi="Montserrat"/>
        </w:rPr>
        <w:t xml:space="preserve"> requirements of the IFRS Accounting standards and should not be determined</w:t>
      </w:r>
      <w:r w:rsidR="001001F6">
        <w:rPr>
          <w:rFonts w:ascii="Montserrat" w:hAnsi="Montserrat"/>
        </w:rPr>
        <w:t xml:space="preserve"> based on the nature of the entity’s business activities. </w:t>
      </w:r>
    </w:p>
    <w:p w14:paraId="527FE45B" w14:textId="32B254B8" w:rsidR="007D765D" w:rsidRPr="00BF1FFA" w:rsidRDefault="001001F6" w:rsidP="0061015E">
      <w:pPr>
        <w:pStyle w:val="bulletheading"/>
        <w:numPr>
          <w:ilvl w:val="0"/>
          <w:numId w:val="0"/>
        </w:numPr>
        <w:ind w:left="360"/>
      </w:pPr>
      <w:r>
        <w:rPr>
          <w:rFonts w:ascii="Montserrat" w:hAnsi="Montserrat"/>
        </w:rPr>
        <w:t>Consideration should be to the following:</w:t>
      </w:r>
    </w:p>
    <w:p w14:paraId="2196C1DF" w14:textId="5EEE95E3" w:rsidR="0070130D" w:rsidRDefault="007C179A" w:rsidP="00BF1FFA">
      <w:pPr>
        <w:pStyle w:val="bulletheading"/>
        <w:numPr>
          <w:ilvl w:val="1"/>
          <w:numId w:val="10"/>
        </w:numPr>
        <w:rPr>
          <w:rFonts w:ascii="Montserrat" w:hAnsi="Montserrat"/>
        </w:rPr>
      </w:pPr>
      <w:r>
        <w:rPr>
          <w:rFonts w:ascii="Montserrat" w:hAnsi="Montserrat"/>
        </w:rPr>
        <w:t>Is the contract a financial guarantee contract</w:t>
      </w:r>
      <w:r w:rsidR="002E0B72">
        <w:rPr>
          <w:rFonts w:ascii="Montserrat" w:hAnsi="Montserrat"/>
        </w:rPr>
        <w:t xml:space="preserve"> as defined in IFRS 9 </w:t>
      </w:r>
      <w:r w:rsidR="002E0B72">
        <w:rPr>
          <w:rFonts w:ascii="Montserrat" w:hAnsi="Montserrat"/>
          <w:i/>
          <w:iCs/>
        </w:rPr>
        <w:t>Financial Instruments</w:t>
      </w:r>
      <w:r w:rsidR="002E0B72">
        <w:rPr>
          <w:rFonts w:ascii="Montserrat" w:hAnsi="Montserrat"/>
        </w:rPr>
        <w:t>?  Th</w:t>
      </w:r>
      <w:r w:rsidR="00FD77E6">
        <w:rPr>
          <w:rFonts w:ascii="Montserrat" w:hAnsi="Montserrat"/>
        </w:rPr>
        <w:t>at</w:t>
      </w:r>
      <w:r w:rsidR="002E0B72">
        <w:rPr>
          <w:rFonts w:ascii="Montserrat" w:hAnsi="Montserrat"/>
        </w:rPr>
        <w:t xml:space="preserve"> is a </w:t>
      </w:r>
      <w:r w:rsidR="00BE7417">
        <w:rPr>
          <w:rFonts w:ascii="Montserrat" w:hAnsi="Montserrat"/>
        </w:rPr>
        <w:t>contract that requires the issuer to make specified payments to reimburse the holder for a loss it incurs because a specified debtor fails to make payment</w:t>
      </w:r>
      <w:r w:rsidR="00611A25">
        <w:rPr>
          <w:rFonts w:ascii="Montserrat" w:hAnsi="Montserrat"/>
        </w:rPr>
        <w:t xml:space="preserve"> when due in accordance with the original or modified terms of a debt instrument</w:t>
      </w:r>
      <w:r w:rsidR="00BB47E5">
        <w:rPr>
          <w:rFonts w:ascii="Montserrat" w:hAnsi="Montserrat"/>
        </w:rPr>
        <w:t xml:space="preserve">.   A contract that meets the definition of a financial guarantee contract </w:t>
      </w:r>
      <w:r w:rsidR="002008ED">
        <w:rPr>
          <w:rFonts w:ascii="Montserrat" w:hAnsi="Montserrat"/>
        </w:rPr>
        <w:t xml:space="preserve">may be in the scope of IFRS 17 </w:t>
      </w:r>
      <w:r w:rsidR="002008ED">
        <w:rPr>
          <w:rFonts w:ascii="Montserrat" w:hAnsi="Montserrat"/>
          <w:i/>
          <w:iCs/>
        </w:rPr>
        <w:t xml:space="preserve">Insurance Contracts </w:t>
      </w:r>
      <w:r w:rsidR="002008ED">
        <w:rPr>
          <w:rFonts w:ascii="Montserrat" w:hAnsi="Montserrat"/>
        </w:rPr>
        <w:t xml:space="preserve">if the </w:t>
      </w:r>
      <w:r w:rsidR="007D7C88">
        <w:rPr>
          <w:rFonts w:ascii="Montserrat" w:hAnsi="Montserrat"/>
        </w:rPr>
        <w:t xml:space="preserve">entity has previously explicitly stated that </w:t>
      </w:r>
      <w:r w:rsidR="00481AF8">
        <w:rPr>
          <w:rFonts w:ascii="Montserrat" w:hAnsi="Montserrat"/>
        </w:rPr>
        <w:t>it regards such financial guarantee contracts as insurance contracts</w:t>
      </w:r>
    </w:p>
    <w:p w14:paraId="5DD81D3A" w14:textId="6B52CD64" w:rsidR="00481AF8" w:rsidRDefault="00481AF8" w:rsidP="00BF1FFA">
      <w:pPr>
        <w:pStyle w:val="bulletheading"/>
        <w:numPr>
          <w:ilvl w:val="1"/>
          <w:numId w:val="10"/>
        </w:numPr>
        <w:rPr>
          <w:rFonts w:ascii="Montserrat" w:hAnsi="Montserrat"/>
        </w:rPr>
      </w:pPr>
      <w:r>
        <w:rPr>
          <w:rFonts w:ascii="Montserrat" w:hAnsi="Montserrat"/>
        </w:rPr>
        <w:t xml:space="preserve">If the contract is not a financial guarantee contract, </w:t>
      </w:r>
      <w:r w:rsidR="006F40A2">
        <w:rPr>
          <w:rFonts w:ascii="Montserrat" w:hAnsi="Montserrat"/>
        </w:rPr>
        <w:t>consider if the contract is an insurance contract</w:t>
      </w:r>
      <w:r w:rsidR="00D43EB7">
        <w:rPr>
          <w:rFonts w:ascii="Montserrat" w:hAnsi="Montserrat"/>
        </w:rPr>
        <w:t xml:space="preserve"> in accordance with IFRS 17, also considering the scoping </w:t>
      </w:r>
      <w:r w:rsidR="003244EF">
        <w:rPr>
          <w:rFonts w:ascii="Montserrat" w:hAnsi="Montserrat"/>
        </w:rPr>
        <w:t xml:space="preserve">exemptions within the </w:t>
      </w:r>
      <w:r w:rsidR="00A4745E">
        <w:rPr>
          <w:rFonts w:ascii="Montserrat" w:hAnsi="Montserrat"/>
        </w:rPr>
        <w:t>standard.</w:t>
      </w:r>
    </w:p>
    <w:p w14:paraId="0180047E" w14:textId="747B14C3" w:rsidR="003244EF" w:rsidRDefault="003244EF" w:rsidP="00BF1FFA">
      <w:pPr>
        <w:pStyle w:val="bulletheading"/>
        <w:numPr>
          <w:ilvl w:val="1"/>
          <w:numId w:val="10"/>
        </w:numPr>
        <w:rPr>
          <w:rFonts w:ascii="Montserrat" w:hAnsi="Montserrat"/>
        </w:rPr>
      </w:pPr>
      <w:r>
        <w:rPr>
          <w:rFonts w:ascii="Montserrat" w:hAnsi="Montserrat"/>
        </w:rPr>
        <w:t xml:space="preserve">If the contract is neither a financial guarantee contract </w:t>
      </w:r>
      <w:proofErr w:type="gramStart"/>
      <w:r>
        <w:rPr>
          <w:rFonts w:ascii="Montserrat" w:hAnsi="Montserrat"/>
        </w:rPr>
        <w:t>or</w:t>
      </w:r>
      <w:proofErr w:type="gramEnd"/>
      <w:r>
        <w:rPr>
          <w:rFonts w:ascii="Montserrat" w:hAnsi="Montserrat"/>
        </w:rPr>
        <w:t xml:space="preserve"> an insurance contract</w:t>
      </w:r>
      <w:r w:rsidR="0057557B">
        <w:rPr>
          <w:rFonts w:ascii="Montserrat" w:hAnsi="Montserrat"/>
        </w:rPr>
        <w:t xml:space="preserve">, consideration should be given to other </w:t>
      </w:r>
      <w:r w:rsidR="00E35BBF">
        <w:rPr>
          <w:rFonts w:ascii="Montserrat" w:hAnsi="Montserrat"/>
        </w:rPr>
        <w:t>requirements in IFRS Accounting standards including:</w:t>
      </w:r>
    </w:p>
    <w:p w14:paraId="2AE5F9A0" w14:textId="5BDD2FE9" w:rsidR="00E35BBF" w:rsidRDefault="00E35BBF" w:rsidP="009354B2">
      <w:pPr>
        <w:pStyle w:val="bulletheading"/>
        <w:numPr>
          <w:ilvl w:val="2"/>
          <w:numId w:val="10"/>
        </w:numPr>
        <w:ind w:left="1701"/>
        <w:rPr>
          <w:rFonts w:ascii="Montserrat" w:hAnsi="Montserrat"/>
        </w:rPr>
      </w:pPr>
      <w:r>
        <w:rPr>
          <w:rFonts w:ascii="Montserrat" w:hAnsi="Montserrat"/>
        </w:rPr>
        <w:t xml:space="preserve">IFRS 9 if it is a loan commitment or </w:t>
      </w:r>
      <w:proofErr w:type="gramStart"/>
      <w:r>
        <w:rPr>
          <w:rFonts w:ascii="Montserrat" w:hAnsi="Montserrat"/>
        </w:rPr>
        <w:t>derivative</w:t>
      </w:r>
      <w:r w:rsidR="00A4745E">
        <w:rPr>
          <w:rFonts w:ascii="Montserrat" w:hAnsi="Montserrat"/>
        </w:rPr>
        <w:t>;</w:t>
      </w:r>
      <w:proofErr w:type="gramEnd"/>
    </w:p>
    <w:p w14:paraId="1E480B04" w14:textId="792E8364" w:rsidR="00E35BBF" w:rsidRDefault="003253A7" w:rsidP="009354B2">
      <w:pPr>
        <w:pStyle w:val="bulletheading"/>
        <w:numPr>
          <w:ilvl w:val="2"/>
          <w:numId w:val="10"/>
        </w:numPr>
        <w:ind w:left="1701"/>
        <w:rPr>
          <w:rFonts w:ascii="Montserrat" w:hAnsi="Montserrat"/>
        </w:rPr>
      </w:pPr>
      <w:r>
        <w:rPr>
          <w:rFonts w:ascii="Montserrat" w:hAnsi="Montserrat"/>
        </w:rPr>
        <w:t xml:space="preserve">IFRS 15 </w:t>
      </w:r>
      <w:r>
        <w:rPr>
          <w:rFonts w:ascii="Montserrat" w:hAnsi="Montserrat"/>
          <w:i/>
          <w:iCs/>
        </w:rPr>
        <w:t>Revenue from Contracts with Customers</w:t>
      </w:r>
      <w:r>
        <w:rPr>
          <w:rFonts w:ascii="Montserrat" w:hAnsi="Montserrat"/>
        </w:rPr>
        <w:t xml:space="preserve"> if the counterparty is a </w:t>
      </w:r>
      <w:proofErr w:type="gramStart"/>
      <w:r>
        <w:rPr>
          <w:rFonts w:ascii="Montserrat" w:hAnsi="Montserrat"/>
        </w:rPr>
        <w:t>customer</w:t>
      </w:r>
      <w:r w:rsidR="00A4745E">
        <w:rPr>
          <w:rFonts w:ascii="Montserrat" w:hAnsi="Montserrat"/>
        </w:rPr>
        <w:t>;</w:t>
      </w:r>
      <w:proofErr w:type="gramEnd"/>
      <w:r>
        <w:rPr>
          <w:rFonts w:ascii="Montserrat" w:hAnsi="Montserrat"/>
        </w:rPr>
        <w:t xml:space="preserve"> </w:t>
      </w:r>
    </w:p>
    <w:p w14:paraId="0D8A7233" w14:textId="7E2E2BFA" w:rsidR="003253A7" w:rsidRPr="007C179A" w:rsidRDefault="003253A7" w:rsidP="009354B2">
      <w:pPr>
        <w:pStyle w:val="bulletheading"/>
        <w:numPr>
          <w:ilvl w:val="2"/>
          <w:numId w:val="10"/>
        </w:numPr>
        <w:ind w:left="1701"/>
        <w:rPr>
          <w:rFonts w:ascii="Montserrat" w:hAnsi="Montserrat"/>
        </w:rPr>
      </w:pPr>
      <w:r>
        <w:rPr>
          <w:rFonts w:ascii="Montserrat" w:hAnsi="Montserrat"/>
        </w:rPr>
        <w:t xml:space="preserve">IAS 37 </w:t>
      </w:r>
      <w:r>
        <w:rPr>
          <w:rFonts w:ascii="Montserrat" w:hAnsi="Montserrat"/>
          <w:i/>
          <w:iCs/>
        </w:rPr>
        <w:t xml:space="preserve">Provisions, Contingent Liabilities and Contingent </w:t>
      </w:r>
      <w:r w:rsidR="00A4745E">
        <w:rPr>
          <w:rFonts w:ascii="Montserrat" w:hAnsi="Montserrat"/>
          <w:i/>
          <w:iCs/>
        </w:rPr>
        <w:t>Assets</w:t>
      </w:r>
      <w:r w:rsidR="00A4745E">
        <w:rPr>
          <w:rFonts w:ascii="Montserrat" w:hAnsi="Montserrat"/>
        </w:rPr>
        <w:t xml:space="preserve"> only</w:t>
      </w:r>
      <w:r w:rsidR="009354B2">
        <w:rPr>
          <w:rFonts w:ascii="Montserrat" w:hAnsi="Montserrat"/>
        </w:rPr>
        <w:t xml:space="preserve"> if it gives rise to </w:t>
      </w:r>
      <w:proofErr w:type="gramStart"/>
      <w:r w:rsidR="009354B2">
        <w:rPr>
          <w:rFonts w:ascii="Montserrat" w:hAnsi="Montserrat"/>
        </w:rPr>
        <w:t>a provision</w:t>
      </w:r>
      <w:proofErr w:type="gramEnd"/>
      <w:r w:rsidR="009354B2">
        <w:rPr>
          <w:rFonts w:ascii="Montserrat" w:hAnsi="Montserrat"/>
        </w:rPr>
        <w:t xml:space="preserve">, contingent </w:t>
      </w:r>
      <w:r w:rsidR="007D7DC9">
        <w:rPr>
          <w:rFonts w:ascii="Montserrat" w:hAnsi="Montserrat"/>
        </w:rPr>
        <w:t>liability,</w:t>
      </w:r>
      <w:r w:rsidR="009354B2">
        <w:rPr>
          <w:rFonts w:ascii="Montserrat" w:hAnsi="Montserrat"/>
        </w:rPr>
        <w:t xml:space="preserve"> or contingent asset not in scope of another standard</w:t>
      </w:r>
      <w:r w:rsidR="00A4745E">
        <w:rPr>
          <w:rFonts w:ascii="Montserrat" w:hAnsi="Montserrat"/>
        </w:rPr>
        <w:t>.</w:t>
      </w:r>
    </w:p>
    <w:p w14:paraId="742305E1" w14:textId="263D9864" w:rsidR="00855C36" w:rsidRPr="00FD6C2D" w:rsidRDefault="00B847CB" w:rsidP="00FD6C2D">
      <w:pPr>
        <w:ind w:left="360"/>
        <w:rPr>
          <w:rFonts w:ascii="Montserrat" w:hAnsi="Montserrat"/>
          <w:sz w:val="19"/>
          <w:szCs w:val="19"/>
        </w:rPr>
      </w:pPr>
      <w:r>
        <w:rPr>
          <w:rFonts w:ascii="Montserrat" w:hAnsi="Montserrat"/>
          <w:sz w:val="19"/>
          <w:szCs w:val="19"/>
        </w:rPr>
        <w:t xml:space="preserve">The IFRIC concluded that the scoping guidance in </w:t>
      </w:r>
      <w:r w:rsidR="00F43F08">
        <w:rPr>
          <w:rFonts w:ascii="Montserrat" w:hAnsi="Montserrat"/>
          <w:sz w:val="19"/>
          <w:szCs w:val="19"/>
        </w:rPr>
        <w:t xml:space="preserve">the relevant IFRS Accounting Standards provided adequate guidance to determine how </w:t>
      </w:r>
      <w:r w:rsidR="00FD6C2D">
        <w:rPr>
          <w:rFonts w:ascii="Montserrat" w:hAnsi="Montserrat"/>
          <w:sz w:val="19"/>
          <w:szCs w:val="19"/>
        </w:rPr>
        <w:t xml:space="preserve">to account for a guarantee that it </w:t>
      </w:r>
      <w:r w:rsidR="00536DFB">
        <w:rPr>
          <w:rFonts w:ascii="Montserrat" w:hAnsi="Montserrat"/>
          <w:sz w:val="19"/>
          <w:szCs w:val="19"/>
        </w:rPr>
        <w:t>issues,</w:t>
      </w:r>
      <w:r w:rsidR="00FD6C2D">
        <w:rPr>
          <w:rFonts w:ascii="Montserrat" w:hAnsi="Montserrat"/>
          <w:sz w:val="19"/>
          <w:szCs w:val="19"/>
        </w:rPr>
        <w:t xml:space="preserve"> and no standard setting work was required. </w:t>
      </w:r>
    </w:p>
    <w:p w14:paraId="46728B28" w14:textId="77777777" w:rsidR="00EE257B" w:rsidRDefault="00EE257B" w:rsidP="00BB50C2"/>
    <w:p w14:paraId="649336A4" w14:textId="77777777" w:rsidR="002F393E" w:rsidRDefault="002F393E" w:rsidP="00BB50C2"/>
    <w:p w14:paraId="2A18124B" w14:textId="77777777" w:rsidR="002F393E" w:rsidRPr="00DB097D" w:rsidRDefault="002F393E" w:rsidP="00086082">
      <w:pPr>
        <w:pStyle w:val="bulletheading"/>
        <w:rPr>
          <w:i/>
          <w:iCs/>
        </w:rPr>
      </w:pPr>
      <w:r>
        <w:t xml:space="preserve">Recognition of Intangible </w:t>
      </w:r>
      <w:r w:rsidR="00C748A9">
        <w:t xml:space="preserve">Assets from Climate-related Expenditure </w:t>
      </w:r>
      <w:r w:rsidRPr="0060579C">
        <w:t xml:space="preserve"> </w:t>
      </w:r>
      <w:r w:rsidRPr="0060579C">
        <w:rPr>
          <w:i/>
          <w:iCs/>
        </w:rPr>
        <w:br/>
        <w:t>March 2025 IFRIC, confirmed by the IASB April 2025.</w:t>
      </w:r>
      <w:r w:rsidR="00086082">
        <w:rPr>
          <w:i/>
          <w:iCs/>
        </w:rPr>
        <w:br/>
      </w:r>
      <w:r w:rsidRPr="00086082">
        <w:rPr>
          <w:rFonts w:ascii="Montserrat" w:hAnsi="Montserrat"/>
        </w:rPr>
        <w:t xml:space="preserve">IFRIC was </w:t>
      </w:r>
      <w:r w:rsidR="00BF5A72" w:rsidRPr="00086082">
        <w:rPr>
          <w:rFonts w:ascii="Montserrat" w:hAnsi="Montserrat"/>
        </w:rPr>
        <w:t xml:space="preserve">asked whether expenditure on </w:t>
      </w:r>
      <w:r w:rsidR="001A089C" w:rsidRPr="00086082">
        <w:rPr>
          <w:rFonts w:ascii="Montserrat" w:hAnsi="Montserrat"/>
        </w:rPr>
        <w:t xml:space="preserve">carbon credits and research and development activities relating to </w:t>
      </w:r>
      <w:r w:rsidR="0061562C" w:rsidRPr="00086082">
        <w:rPr>
          <w:rFonts w:ascii="Montserrat" w:hAnsi="Montserrat"/>
        </w:rPr>
        <w:t xml:space="preserve">innovation programs around carbon reduction met the requirements of IAS 38 </w:t>
      </w:r>
      <w:r w:rsidR="0061562C" w:rsidRPr="00086082">
        <w:rPr>
          <w:rFonts w:ascii="Montserrat" w:hAnsi="Montserrat"/>
          <w:i/>
          <w:iCs/>
        </w:rPr>
        <w:t>Intangible Assets</w:t>
      </w:r>
      <w:r w:rsidR="00C328E0" w:rsidRPr="00086082">
        <w:rPr>
          <w:rFonts w:ascii="Montserrat" w:hAnsi="Montserrat"/>
        </w:rPr>
        <w:t xml:space="preserve">.  As the IASB has been </w:t>
      </w:r>
      <w:r w:rsidR="00B7721A" w:rsidRPr="00086082">
        <w:rPr>
          <w:rFonts w:ascii="Montserrat" w:hAnsi="Montserrat"/>
        </w:rPr>
        <w:t xml:space="preserve">investigating accounting for pollutant pricing mechanisms and </w:t>
      </w:r>
      <w:r w:rsidR="00107C7D" w:rsidRPr="00086082">
        <w:rPr>
          <w:rFonts w:ascii="Montserrat" w:hAnsi="Montserrat"/>
        </w:rPr>
        <w:t>will decide</w:t>
      </w:r>
      <w:r w:rsidR="00B7721A" w:rsidRPr="00086082">
        <w:rPr>
          <w:rFonts w:ascii="Montserrat" w:hAnsi="Montserrat"/>
        </w:rPr>
        <w:t xml:space="preserve"> </w:t>
      </w:r>
      <w:r w:rsidR="00107C7D" w:rsidRPr="00086082">
        <w:rPr>
          <w:rFonts w:ascii="Montserrat" w:hAnsi="Montserrat"/>
        </w:rPr>
        <w:t>whether to proceed with a project on it</w:t>
      </w:r>
      <w:r w:rsidR="00B7721A" w:rsidRPr="00086082">
        <w:rPr>
          <w:rFonts w:ascii="Montserrat" w:hAnsi="Montserrat"/>
        </w:rPr>
        <w:t xml:space="preserve"> at the next</w:t>
      </w:r>
      <w:r w:rsidR="00177313" w:rsidRPr="00086082">
        <w:rPr>
          <w:rFonts w:ascii="Montserrat" w:hAnsi="Montserrat"/>
        </w:rPr>
        <w:t xml:space="preserve"> agenda consultation, IFRIC did not </w:t>
      </w:r>
      <w:r w:rsidR="00107C7D" w:rsidRPr="00086082">
        <w:rPr>
          <w:rFonts w:ascii="Montserrat" w:hAnsi="Montserrat"/>
        </w:rPr>
        <w:t xml:space="preserve">address the issue with regards to carbon credits.  They also found no </w:t>
      </w:r>
      <w:r w:rsidR="0015645A" w:rsidRPr="00086082">
        <w:rPr>
          <w:rFonts w:ascii="Montserrat" w:hAnsi="Montserrat"/>
        </w:rPr>
        <w:t xml:space="preserve">material diversity </w:t>
      </w:r>
      <w:r w:rsidR="00107C7D" w:rsidRPr="00086082">
        <w:rPr>
          <w:rFonts w:ascii="Montserrat" w:hAnsi="Montserrat"/>
        </w:rPr>
        <w:t xml:space="preserve">in practice regarding the treatment of the research and development </w:t>
      </w:r>
      <w:r w:rsidR="0015645A" w:rsidRPr="00086082">
        <w:rPr>
          <w:rFonts w:ascii="Montserrat" w:hAnsi="Montserrat"/>
        </w:rPr>
        <w:t xml:space="preserve">expenditure and concluded that no further actions were necessary. </w:t>
      </w:r>
    </w:p>
    <w:p w14:paraId="45EC205B" w14:textId="77777777" w:rsidR="00DB097D" w:rsidRDefault="00DB097D" w:rsidP="00DB097D">
      <w:pPr>
        <w:pStyle w:val="bulletheading"/>
        <w:numPr>
          <w:ilvl w:val="0"/>
          <w:numId w:val="0"/>
        </w:numPr>
        <w:ind w:left="360" w:hanging="360"/>
        <w:rPr>
          <w:rFonts w:ascii="Montserrat" w:hAnsi="Montserrat"/>
        </w:rPr>
      </w:pPr>
    </w:p>
    <w:p w14:paraId="77D9CA47" w14:textId="77777777" w:rsidR="007F1056" w:rsidRPr="00DB097D" w:rsidRDefault="007F1056" w:rsidP="007F1056">
      <w:pPr>
        <w:pStyle w:val="bulletheading"/>
        <w:rPr>
          <w:i/>
          <w:iCs/>
        </w:rPr>
      </w:pPr>
      <w:r>
        <w:t xml:space="preserve">Assessing Indicators of Hyperinflationary Economies (IAS 29 </w:t>
      </w:r>
      <w:r>
        <w:rPr>
          <w:i/>
          <w:iCs/>
        </w:rPr>
        <w:t>Financial Reporting in Hyperinflationary Economies)</w:t>
      </w:r>
      <w:r>
        <w:t xml:space="preserve"> </w:t>
      </w:r>
      <w:r w:rsidRPr="0060579C">
        <w:t xml:space="preserve"> </w:t>
      </w:r>
      <w:r w:rsidRPr="0060579C">
        <w:rPr>
          <w:i/>
          <w:iCs/>
        </w:rPr>
        <w:br/>
      </w:r>
      <w:r>
        <w:rPr>
          <w:i/>
          <w:iCs/>
        </w:rPr>
        <w:t>June</w:t>
      </w:r>
      <w:r w:rsidRPr="0060579C">
        <w:rPr>
          <w:i/>
          <w:iCs/>
        </w:rPr>
        <w:t xml:space="preserve"> 2025 IFRIC, confirmed by the IASB </w:t>
      </w:r>
      <w:r>
        <w:rPr>
          <w:i/>
          <w:iCs/>
        </w:rPr>
        <w:t xml:space="preserve">June </w:t>
      </w:r>
      <w:r w:rsidRPr="0060579C">
        <w:rPr>
          <w:i/>
          <w:iCs/>
        </w:rPr>
        <w:t>2025.</w:t>
      </w:r>
      <w:r>
        <w:rPr>
          <w:i/>
          <w:iCs/>
        </w:rPr>
        <w:br/>
      </w:r>
      <w:r w:rsidRPr="00086082">
        <w:rPr>
          <w:rFonts w:ascii="Montserrat" w:hAnsi="Montserrat"/>
        </w:rPr>
        <w:t xml:space="preserve">IFRIC was </w:t>
      </w:r>
      <w:r w:rsidRPr="00FB1006">
        <w:rPr>
          <w:rFonts w:ascii="Montserrat" w:hAnsi="Montserrat"/>
        </w:rPr>
        <w:t>IFRIC was asked about whether entities were required to meet all the requirements of economies becoming hyperinflationary as outlined in IAS 29.3 and whether that was an exhaustive list or other indicators could be considered.  The committee concluded that it was well understood that the indicators in paragraph 3 might be assigned different weights and that other indicators may also be considered.  They concluded that there was not a widespread impact, and no further work was required.</w:t>
      </w:r>
    </w:p>
    <w:p w14:paraId="7A9D87D9" w14:textId="77777777" w:rsidR="00DB097D" w:rsidRDefault="00DB097D" w:rsidP="00DB097D">
      <w:pPr>
        <w:pStyle w:val="bulletheading"/>
        <w:numPr>
          <w:ilvl w:val="0"/>
          <w:numId w:val="0"/>
        </w:numPr>
        <w:ind w:left="360" w:hanging="360"/>
        <w:rPr>
          <w:rFonts w:ascii="Montserrat" w:hAnsi="Montserrat"/>
        </w:rPr>
      </w:pPr>
    </w:p>
    <w:p w14:paraId="5937E71C" w14:textId="70594F7C" w:rsidR="00DB097D" w:rsidRPr="00075E4C" w:rsidRDefault="00DB097D" w:rsidP="00DB097D">
      <w:pPr>
        <w:pStyle w:val="bulletheading"/>
        <w:numPr>
          <w:ilvl w:val="0"/>
          <w:numId w:val="0"/>
        </w:numPr>
        <w:ind w:left="360" w:hanging="360"/>
        <w:rPr>
          <w:i/>
          <w:iCs/>
        </w:rPr>
        <w:sectPr w:rsidR="00DB097D" w:rsidRPr="00075E4C" w:rsidSect="00C83A19">
          <w:footerReference w:type="default" r:id="rId20"/>
          <w:pgSz w:w="11906" w:h="16838" w:code="9"/>
          <w:pgMar w:top="1843" w:right="1440" w:bottom="1304" w:left="1871" w:header="709" w:footer="851" w:gutter="0"/>
          <w:cols w:space="708"/>
          <w:docGrid w:linePitch="360"/>
        </w:sectPr>
      </w:pPr>
    </w:p>
    <w:p w14:paraId="741BEE47" w14:textId="77777777" w:rsidR="007541EF" w:rsidRPr="00BB50C2" w:rsidRDefault="007541EF" w:rsidP="00BB50C2">
      <w:bookmarkStart w:id="1" w:name="_Toc80204720"/>
    </w:p>
    <w:bookmarkEnd w:id="1"/>
    <w:p w14:paraId="6E912262" w14:textId="77777777" w:rsidR="00F822BC" w:rsidRPr="00BB50C2" w:rsidRDefault="00F822BC" w:rsidP="00BB50C2"/>
    <w:p w14:paraId="65056CC9" w14:textId="77777777" w:rsidR="00B82B82" w:rsidRPr="00BB50C2" w:rsidRDefault="00B82B82" w:rsidP="00BB50C2"/>
    <w:p w14:paraId="1C2B560E" w14:textId="77777777" w:rsidR="00B82B82" w:rsidRPr="00BB50C2" w:rsidRDefault="00B82B82" w:rsidP="00BB50C2"/>
    <w:p w14:paraId="4591144D" w14:textId="77777777" w:rsidR="0073224A" w:rsidRPr="00BB50C2" w:rsidRDefault="0073224A" w:rsidP="00BB50C2"/>
    <w:p w14:paraId="69C4B72B" w14:textId="77777777" w:rsidR="0073224A" w:rsidRPr="00BB50C2" w:rsidRDefault="0073224A" w:rsidP="00BB50C2"/>
    <w:p w14:paraId="3AB3EDB9" w14:textId="77777777" w:rsidR="0073224A" w:rsidRPr="00BB50C2" w:rsidRDefault="0073224A" w:rsidP="00BB50C2"/>
    <w:p w14:paraId="23B3AAC6" w14:textId="77777777" w:rsidR="0073224A" w:rsidRPr="00BB50C2" w:rsidRDefault="0073224A" w:rsidP="00BB50C2"/>
    <w:p w14:paraId="3EAB3C3B" w14:textId="77777777" w:rsidR="0073224A" w:rsidRPr="00BB50C2" w:rsidRDefault="0073224A" w:rsidP="00BB50C2"/>
    <w:p w14:paraId="4A327627" w14:textId="77777777" w:rsidR="0073224A" w:rsidRPr="00BB50C2" w:rsidRDefault="0073224A" w:rsidP="00BB50C2"/>
    <w:p w14:paraId="0CEBA464" w14:textId="77777777" w:rsidR="0073224A" w:rsidRPr="00BB50C2" w:rsidRDefault="0073224A" w:rsidP="00BB50C2"/>
    <w:p w14:paraId="470E4B39" w14:textId="77777777" w:rsidR="0073224A" w:rsidRPr="00BB50C2" w:rsidRDefault="0073224A" w:rsidP="00BB50C2"/>
    <w:p w14:paraId="0A689AB5" w14:textId="77777777" w:rsidR="003B49A8" w:rsidRPr="00BB50C2" w:rsidRDefault="003B49A8" w:rsidP="00BB50C2"/>
    <w:p w14:paraId="6A03D2CA" w14:textId="77777777" w:rsidR="00F166FA" w:rsidRPr="00BB50C2" w:rsidRDefault="00F166FA" w:rsidP="00BB50C2"/>
    <w:p w14:paraId="2FBA82B3" w14:textId="77777777" w:rsidR="00F166FA" w:rsidRPr="00BB50C2" w:rsidRDefault="00F166FA" w:rsidP="00BB50C2"/>
    <w:p w14:paraId="2134D569" w14:textId="77777777" w:rsidR="00F166FA" w:rsidRPr="00BB50C2" w:rsidRDefault="00F166FA" w:rsidP="00BB50C2"/>
    <w:p w14:paraId="7DD853BA" w14:textId="39692B8C" w:rsidR="003B49A8" w:rsidRPr="00BB50C2" w:rsidRDefault="003B49A8" w:rsidP="00BB50C2"/>
    <w:p w14:paraId="7C15420C" w14:textId="77777777" w:rsidR="003B49A8" w:rsidRPr="00BB50C2" w:rsidRDefault="003B49A8" w:rsidP="00BB50C2"/>
    <w:p w14:paraId="5693D1F3" w14:textId="77777777" w:rsidR="0073224A" w:rsidRPr="00BB50C2" w:rsidRDefault="0073224A" w:rsidP="00BB50C2"/>
    <w:p w14:paraId="7FEA4066" w14:textId="77777777" w:rsidR="0073224A" w:rsidRPr="00BB50C2" w:rsidRDefault="0073224A" w:rsidP="00BB50C2"/>
    <w:p w14:paraId="58B58330" w14:textId="77777777" w:rsidR="0073224A" w:rsidRPr="00BB50C2" w:rsidRDefault="0073224A" w:rsidP="00BB50C2"/>
    <w:p w14:paraId="4676A546" w14:textId="77777777" w:rsidR="00786DCC" w:rsidRPr="00BB50C2" w:rsidRDefault="00786DCC" w:rsidP="00BB50C2"/>
    <w:sectPr w:rsidR="00786DCC" w:rsidRPr="00BB50C2" w:rsidSect="003A7779">
      <w:footerReference w:type="default" r:id="rId21"/>
      <w:pgSz w:w="11906" w:h="16838" w:code="9"/>
      <w:pgMar w:top="1080" w:right="1440" w:bottom="1080" w:left="1440"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C6835" w14:textId="77777777" w:rsidR="004E6A88" w:rsidRDefault="004E6A88" w:rsidP="008F0F16">
      <w:r>
        <w:separator/>
      </w:r>
    </w:p>
    <w:p w14:paraId="7BD670D9" w14:textId="77777777" w:rsidR="004E6A88" w:rsidRDefault="004E6A88"/>
    <w:p w14:paraId="6CB42C7D" w14:textId="77777777" w:rsidR="004E6A88" w:rsidRDefault="004E6A88"/>
  </w:endnote>
  <w:endnote w:type="continuationSeparator" w:id="0">
    <w:p w14:paraId="5DD88E59" w14:textId="77777777" w:rsidR="004E6A88" w:rsidRDefault="004E6A88" w:rsidP="008F0F16">
      <w:r>
        <w:continuationSeparator/>
      </w:r>
    </w:p>
    <w:p w14:paraId="57D9DF6C" w14:textId="77777777" w:rsidR="004E6A88" w:rsidRDefault="004E6A88"/>
    <w:p w14:paraId="5C5D0C12" w14:textId="77777777" w:rsidR="004E6A88" w:rsidRDefault="004E6A88"/>
  </w:endnote>
  <w:endnote w:type="continuationNotice" w:id="1">
    <w:p w14:paraId="6DFA0ECA" w14:textId="77777777" w:rsidR="004E6A88" w:rsidRDefault="004E6A88"/>
    <w:p w14:paraId="2D16500C" w14:textId="77777777" w:rsidR="004E6A88" w:rsidRDefault="004E6A88"/>
    <w:p w14:paraId="4C09AF28" w14:textId="77777777" w:rsidR="004E6A88" w:rsidRDefault="004E6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SemiBold">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ontserrat">
    <w:charset w:val="00"/>
    <w:family w:val="auto"/>
    <w:pitch w:val="variable"/>
    <w:sig w:usb0="2000020F" w:usb1="00000003" w:usb2="00000000" w:usb3="00000000" w:csb0="00000197" w:csb1="00000000"/>
  </w:font>
  <w:font w:name="Segoe UI">
    <w:altName w:val="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AC4D" w14:textId="77777777" w:rsidR="00C51290" w:rsidRDefault="00C512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76BB" w14:textId="77777777" w:rsidR="00025F49" w:rsidRPr="000D1173" w:rsidRDefault="00025F49" w:rsidP="0018133F">
    <w:pPr>
      <w:jc w:val="right"/>
      <w:rPr>
        <w:sz w:val="16"/>
        <w:szCs w:val="12"/>
      </w:rPr>
    </w:pPr>
    <w:r w:rsidRPr="008B7079">
      <w:rPr>
        <w:sz w:val="16"/>
        <w:szCs w:val="12"/>
      </w:rPr>
      <w:t xml:space="preserve">Page | </w:t>
    </w:r>
    <w:r w:rsidRPr="008B7079">
      <w:rPr>
        <w:sz w:val="16"/>
        <w:szCs w:val="12"/>
      </w:rPr>
      <w:fldChar w:fldCharType="begin"/>
    </w:r>
    <w:r w:rsidRPr="008B7079">
      <w:rPr>
        <w:sz w:val="16"/>
        <w:szCs w:val="12"/>
      </w:rPr>
      <w:instrText xml:space="preserve"> PAGE   \* MERGEFORMAT </w:instrText>
    </w:r>
    <w:r w:rsidRPr="008B7079">
      <w:rPr>
        <w:sz w:val="16"/>
        <w:szCs w:val="12"/>
      </w:rPr>
      <w:fldChar w:fldCharType="separate"/>
    </w:r>
    <w:r>
      <w:rPr>
        <w:sz w:val="16"/>
        <w:szCs w:val="12"/>
      </w:rPr>
      <w:t>1</w:t>
    </w:r>
    <w:r w:rsidRPr="008B7079">
      <w:rPr>
        <w:noProof/>
        <w:sz w:val="16"/>
        <w:szCs w:val="12"/>
      </w:rPr>
      <w:fldChar w:fldCharType="end"/>
    </w:r>
  </w:p>
  <w:p w14:paraId="57729250" w14:textId="77777777" w:rsidR="00025F49" w:rsidRPr="008B7079" w:rsidRDefault="00025F49" w:rsidP="0018133F">
    <w:pPr>
      <w:jc w:val="right"/>
      <w:rPr>
        <w:sz w:val="16"/>
        <w:szCs w:val="12"/>
      </w:rPr>
    </w:pPr>
  </w:p>
  <w:p w14:paraId="6163F19C" w14:textId="77777777" w:rsidR="00025F49" w:rsidRPr="008B7079" w:rsidRDefault="00025F49" w:rsidP="007362E7">
    <w:pPr>
      <w:jc w:val="right"/>
      <w:rPr>
        <w:sz w:val="16"/>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7793" w14:textId="3847BA25" w:rsidR="00025F49" w:rsidRPr="000D1173" w:rsidRDefault="00025F49" w:rsidP="0018133F">
    <w:pPr>
      <w:tabs>
        <w:tab w:val="left" w:pos="6345"/>
        <w:tab w:val="right" w:pos="9070"/>
      </w:tabs>
      <w:rPr>
        <w:sz w:val="16"/>
        <w:szCs w:val="12"/>
      </w:rPr>
    </w:pPr>
    <w:r>
      <w:tab/>
    </w:r>
    <w:r>
      <w:tab/>
    </w:r>
    <w:r>
      <w:tab/>
    </w:r>
    <w:r>
      <w:tab/>
    </w:r>
    <w:r>
      <w:tab/>
    </w:r>
    <w:r>
      <w:tab/>
    </w:r>
    <w:r w:rsidRPr="00891013">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E2B6" w14:textId="52E91D58" w:rsidR="00025F49" w:rsidRPr="00F07A22" w:rsidRDefault="00025F49" w:rsidP="00D86BC2">
    <w:pPr>
      <w:jc w:val="right"/>
      <w:rPr>
        <w:rFonts w:ascii="Arial" w:hAnsi="Arial" w:cs="Arial"/>
        <w:sz w:val="16"/>
        <w:szCs w:val="12"/>
      </w:rPr>
    </w:pPr>
    <w:r w:rsidRPr="00F07A22">
      <w:rPr>
        <w:rFonts w:ascii="Arial" w:hAnsi="Arial" w:cs="Arial"/>
        <w:sz w:val="16"/>
        <w:szCs w:val="12"/>
      </w:rPr>
      <w:t xml:space="preserve">Page </w:t>
    </w:r>
    <w:r w:rsidRPr="00F07A22">
      <w:rPr>
        <w:rFonts w:ascii="Arial" w:hAnsi="Arial" w:cs="Arial"/>
        <w:sz w:val="16"/>
        <w:szCs w:val="12"/>
      </w:rPr>
      <w:fldChar w:fldCharType="begin"/>
    </w:r>
    <w:r w:rsidRPr="00F07A22">
      <w:rPr>
        <w:rFonts w:ascii="Arial" w:hAnsi="Arial" w:cs="Arial"/>
        <w:sz w:val="16"/>
        <w:szCs w:val="12"/>
      </w:rPr>
      <w:instrText xml:space="preserve"> PAGE   \* MERGEFORMAT </w:instrText>
    </w:r>
    <w:r w:rsidRPr="00F07A22">
      <w:rPr>
        <w:rFonts w:ascii="Arial" w:hAnsi="Arial" w:cs="Arial"/>
        <w:sz w:val="16"/>
        <w:szCs w:val="12"/>
      </w:rPr>
      <w:fldChar w:fldCharType="separate"/>
    </w:r>
    <w:r w:rsidR="0015798D">
      <w:rPr>
        <w:rFonts w:ascii="Arial" w:hAnsi="Arial" w:cs="Arial"/>
        <w:noProof/>
        <w:sz w:val="16"/>
        <w:szCs w:val="12"/>
      </w:rPr>
      <w:t>11</w:t>
    </w:r>
    <w:r w:rsidRPr="00F07A22">
      <w:rPr>
        <w:rFonts w:ascii="Arial" w:hAnsi="Arial" w:cs="Arial"/>
        <w:noProof/>
        <w:sz w:val="16"/>
        <w:szCs w:val="12"/>
      </w:rPr>
      <w:fldChar w:fldCharType="end"/>
    </w:r>
  </w:p>
  <w:p w14:paraId="70C55C32" w14:textId="77777777" w:rsidR="00025F49" w:rsidRPr="008B7079" w:rsidRDefault="00025F49" w:rsidP="00917FF2">
    <w:pPr>
      <w:jc w:val="right"/>
      <w:rPr>
        <w:sz w:val="16"/>
        <w:szCs w:val="12"/>
      </w:rPr>
    </w:pPr>
  </w:p>
  <w:p w14:paraId="5E6EE293" w14:textId="77777777" w:rsidR="00025F49" w:rsidRPr="008B7079" w:rsidRDefault="00025F49" w:rsidP="0018133F">
    <w:pPr>
      <w:jc w:val="right"/>
      <w:rPr>
        <w:sz w:val="16"/>
        <w:szCs w:val="12"/>
      </w:rPr>
    </w:pPr>
  </w:p>
  <w:p w14:paraId="5EF6F758" w14:textId="77777777" w:rsidR="00025F49" w:rsidRPr="008B7079" w:rsidRDefault="00025F49" w:rsidP="007362E7">
    <w:pPr>
      <w:jc w:val="right"/>
      <w:rPr>
        <w:sz w:val="16"/>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143E" w14:textId="77777777" w:rsidR="00025F49" w:rsidRPr="000D1173" w:rsidRDefault="00025F49" w:rsidP="0018133F">
    <w:pPr>
      <w:jc w:val="right"/>
      <w:rPr>
        <w:sz w:val="16"/>
        <w:szCs w:val="12"/>
      </w:rPr>
    </w:pPr>
    <w:r>
      <w:rPr>
        <w:noProof/>
        <w:lang w:val="en-US" w:eastAsia="zh-TW"/>
      </w:rPr>
      <w:drawing>
        <wp:anchor distT="0" distB="0" distL="114300" distR="114300" simplePos="0" relativeHeight="251658752" behindDoc="1" locked="1" layoutInCell="1" allowOverlap="1" wp14:anchorId="003EB28A" wp14:editId="00541833">
          <wp:simplePos x="0" y="0"/>
          <wp:positionH relativeFrom="column">
            <wp:posOffset>-886460</wp:posOffset>
          </wp:positionH>
          <wp:positionV relativeFrom="page">
            <wp:posOffset>14605</wp:posOffset>
          </wp:positionV>
          <wp:extent cx="7541260" cy="10659110"/>
          <wp:effectExtent l="0" t="0" r="2540" b="0"/>
          <wp:wrapNone/>
          <wp:docPr id="11" name="Picture 11" descr="A picture containing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ver.jpg"/>
                  <pic:cNvPicPr/>
                </pic:nvPicPr>
                <pic:blipFill>
                  <a:blip r:embed="rId1"/>
                  <a:stretch>
                    <a:fillRect/>
                  </a:stretch>
                </pic:blipFill>
                <pic:spPr>
                  <a:xfrm>
                    <a:off x="0" y="0"/>
                    <a:ext cx="7541260" cy="10659110"/>
                  </a:xfrm>
                  <a:prstGeom prst="rect">
                    <a:avLst/>
                  </a:prstGeom>
                </pic:spPr>
              </pic:pic>
            </a:graphicData>
          </a:graphic>
          <wp14:sizeRelH relativeFrom="margin">
            <wp14:pctWidth>0</wp14:pctWidth>
          </wp14:sizeRelH>
          <wp14:sizeRelV relativeFrom="margin">
            <wp14:pctHeight>0</wp14:pctHeight>
          </wp14:sizeRelV>
        </wp:anchor>
      </w:drawing>
    </w:r>
    <w:r w:rsidRPr="000D1173">
      <w:rPr>
        <w:sz w:val="16"/>
        <w:szCs w:val="12"/>
      </w:rPr>
      <w:t xml:space="preserve"> </w:t>
    </w:r>
  </w:p>
  <w:p w14:paraId="75E24944" w14:textId="77777777" w:rsidR="00025F49" w:rsidRPr="008B7079" w:rsidRDefault="00025F49" w:rsidP="0018133F">
    <w:pPr>
      <w:jc w:val="right"/>
      <w:rPr>
        <w:sz w:val="16"/>
        <w:szCs w:val="12"/>
      </w:rPr>
    </w:pPr>
  </w:p>
  <w:p w14:paraId="05219F22" w14:textId="77777777" w:rsidR="00025F49" w:rsidRPr="008B7079" w:rsidRDefault="00025F49" w:rsidP="007362E7">
    <w:pPr>
      <w:jc w:val="right"/>
      <w:rPr>
        <w:sz w:val="16"/>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AC0F" w14:textId="77777777" w:rsidR="004E6A88" w:rsidRDefault="004E6A88" w:rsidP="008F0F16">
      <w:r>
        <w:separator/>
      </w:r>
    </w:p>
    <w:p w14:paraId="41009E94" w14:textId="77777777" w:rsidR="004E6A88" w:rsidRDefault="004E6A88"/>
    <w:p w14:paraId="4FD07985" w14:textId="77777777" w:rsidR="004E6A88" w:rsidRDefault="004E6A88"/>
  </w:footnote>
  <w:footnote w:type="continuationSeparator" w:id="0">
    <w:p w14:paraId="2CC6CF31" w14:textId="77777777" w:rsidR="004E6A88" w:rsidRDefault="004E6A88" w:rsidP="008F0F16">
      <w:r>
        <w:continuationSeparator/>
      </w:r>
    </w:p>
    <w:p w14:paraId="620747DE" w14:textId="77777777" w:rsidR="004E6A88" w:rsidRDefault="004E6A88"/>
    <w:p w14:paraId="4C5CEAE9" w14:textId="77777777" w:rsidR="004E6A88" w:rsidRDefault="004E6A88"/>
  </w:footnote>
  <w:footnote w:type="continuationNotice" w:id="1">
    <w:p w14:paraId="37A604F1" w14:textId="77777777" w:rsidR="004E6A88" w:rsidRDefault="004E6A88"/>
    <w:p w14:paraId="771866E4" w14:textId="77777777" w:rsidR="004E6A88" w:rsidRDefault="004E6A88"/>
    <w:p w14:paraId="7E3034C2" w14:textId="77777777" w:rsidR="004E6A88" w:rsidRDefault="004E6A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F21E" w14:textId="77777777" w:rsidR="00C51290" w:rsidRDefault="00C51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14D2" w14:textId="728057F1" w:rsidR="00025F49" w:rsidRDefault="00025F49">
    <w:pPr>
      <w:pStyle w:val="Header"/>
    </w:pPr>
    <w:r>
      <w:rPr>
        <w:noProof/>
        <w:lang w:val="en-US" w:eastAsia="zh-TW"/>
      </w:rPr>
      <w:drawing>
        <wp:anchor distT="0" distB="0" distL="114300" distR="114300" simplePos="0" relativeHeight="251656704" behindDoc="1" locked="0" layoutInCell="1" allowOverlap="1" wp14:anchorId="4CA1A08A" wp14:editId="6F989FCD">
          <wp:simplePos x="0" y="0"/>
          <wp:positionH relativeFrom="column">
            <wp:posOffset>-885825</wp:posOffset>
          </wp:positionH>
          <wp:positionV relativeFrom="paragraph">
            <wp:posOffset>-429260</wp:posOffset>
          </wp:positionV>
          <wp:extent cx="7559040" cy="1790700"/>
          <wp:effectExtent l="0" t="0" r="3810" b="0"/>
          <wp:wrapNone/>
          <wp:docPr id="556111868" name="Picture 55611186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llower - Moore Australia.png"/>
                  <pic:cNvPicPr/>
                </pic:nvPicPr>
                <pic:blipFill rotWithShape="1">
                  <a:blip r:embed="rId1">
                    <a:extLst>
                      <a:ext uri="{28A0092B-C50C-407E-A947-70E740481C1C}">
                        <a14:useLocalDpi xmlns:a14="http://schemas.microsoft.com/office/drawing/2010/main" val="0"/>
                      </a:ext>
                    </a:extLst>
                  </a:blip>
                  <a:srcRect b="83250"/>
                  <a:stretch/>
                </pic:blipFill>
                <pic:spPr bwMode="auto">
                  <a:xfrm>
                    <a:off x="0" y="0"/>
                    <a:ext cx="7559040" cy="1790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EADC" w14:textId="32BCE081" w:rsidR="00025F49" w:rsidRDefault="00286A7B">
    <w:r w:rsidRPr="00981EC5">
      <w:rPr>
        <w:noProof/>
        <w:lang w:val="en-US" w:eastAsia="en-US"/>
      </w:rPr>
      <w:drawing>
        <wp:anchor distT="0" distB="0" distL="114300" distR="114300" simplePos="0" relativeHeight="251657728" behindDoc="1" locked="0" layoutInCell="1" allowOverlap="1" wp14:anchorId="49F33512" wp14:editId="72961FDB">
          <wp:simplePos x="0" y="0"/>
          <wp:positionH relativeFrom="page">
            <wp:posOffset>-38100</wp:posOffset>
          </wp:positionH>
          <wp:positionV relativeFrom="paragraph">
            <wp:posOffset>-571474</wp:posOffset>
          </wp:positionV>
          <wp:extent cx="7610475" cy="10796270"/>
          <wp:effectExtent l="0" t="0" r="9525" b="5080"/>
          <wp:wrapNone/>
          <wp:docPr id="73057539" name="Picture 73057539" descr="A hand holding a magnifying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and holding a magnifying glas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75" cy="10796270"/>
                  </a:xfrm>
                  <a:prstGeom prst="rect">
                    <a:avLst/>
                  </a:prstGeom>
                </pic:spPr>
              </pic:pic>
            </a:graphicData>
          </a:graphic>
          <wp14:sizeRelH relativeFrom="page">
            <wp14:pctWidth>0</wp14:pctWidth>
          </wp14:sizeRelH>
          <wp14:sizeRelV relativeFrom="page">
            <wp14:pctHeight>0</wp14:pctHeight>
          </wp14:sizeRelV>
        </wp:anchor>
      </w:drawing>
    </w:r>
    <w:r w:rsidR="00025F49">
      <w:rPr>
        <w:noProof/>
        <w:lang w:val="en-US" w:eastAsia="zh-TW"/>
      </w:rPr>
      <w:drawing>
        <wp:anchor distT="0" distB="0" distL="114300" distR="114300" simplePos="0" relativeHeight="251655680" behindDoc="1" locked="0" layoutInCell="1" allowOverlap="1" wp14:anchorId="4D377B3A" wp14:editId="647F2E5E">
          <wp:simplePos x="0" y="0"/>
          <wp:positionH relativeFrom="column">
            <wp:posOffset>-899160</wp:posOffset>
          </wp:positionH>
          <wp:positionV relativeFrom="paragraph">
            <wp:posOffset>-442595</wp:posOffset>
          </wp:positionV>
          <wp:extent cx="7559040" cy="1790700"/>
          <wp:effectExtent l="0" t="0" r="3810" b="0"/>
          <wp:wrapNone/>
          <wp:docPr id="1098791598" name="Picture 109879159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llower - Moore Australia.png"/>
                  <pic:cNvPicPr/>
                </pic:nvPicPr>
                <pic:blipFill rotWithShape="1">
                  <a:blip r:embed="rId2">
                    <a:extLst>
                      <a:ext uri="{28A0092B-C50C-407E-A947-70E740481C1C}">
                        <a14:useLocalDpi xmlns:a14="http://schemas.microsoft.com/office/drawing/2010/main" val="0"/>
                      </a:ext>
                    </a:extLst>
                  </a:blip>
                  <a:srcRect b="83250"/>
                  <a:stretch/>
                </pic:blipFill>
                <pic:spPr bwMode="auto">
                  <a:xfrm>
                    <a:off x="0" y="0"/>
                    <a:ext cx="7559040" cy="1790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54F"/>
    <w:multiLevelType w:val="multilevel"/>
    <w:tmpl w:val="D6FC340C"/>
    <w:lvl w:ilvl="0">
      <w:start w:val="1"/>
      <w:numFmt w:val="decimal"/>
      <w:lvlText w:val="%1.0"/>
      <w:lvlJc w:val="left"/>
      <w:pPr>
        <w:ind w:left="3913" w:hanging="510"/>
      </w:pPr>
      <w:rPr>
        <w:rFonts w:hint="default"/>
        <w:b/>
        <w:i w:val="0"/>
        <w:color w:val="00B0F0"/>
        <w:sz w:val="28"/>
      </w:rPr>
    </w:lvl>
    <w:lvl w:ilvl="1">
      <w:start w:val="1"/>
      <w:numFmt w:val="decimal"/>
      <w:pStyle w:val="MAREPORT-SubheadingBlack"/>
      <w:lvlText w:val="%1.%2."/>
      <w:lvlJc w:val="left"/>
      <w:pPr>
        <w:ind w:left="0" w:hanging="510"/>
      </w:pPr>
      <w:rPr>
        <w:rFonts w:hint="default"/>
      </w:rPr>
    </w:lvl>
    <w:lvl w:ilvl="2">
      <w:start w:val="1"/>
      <w:numFmt w:val="decimal"/>
      <w:lvlText w:val="%1.%2.%3."/>
      <w:lvlJc w:val="left"/>
      <w:pPr>
        <w:ind w:left="714" w:hanging="504"/>
      </w:pPr>
      <w:rPr>
        <w:rFonts w:hint="default"/>
      </w:rPr>
    </w:lvl>
    <w:lvl w:ilvl="3">
      <w:start w:val="1"/>
      <w:numFmt w:val="decimal"/>
      <w:lvlText w:val="%1.%2.%3.%4."/>
      <w:lvlJc w:val="left"/>
      <w:pPr>
        <w:ind w:left="1218" w:hanging="648"/>
      </w:pPr>
      <w:rPr>
        <w:rFonts w:hint="default"/>
      </w:rPr>
    </w:lvl>
    <w:lvl w:ilvl="4">
      <w:start w:val="1"/>
      <w:numFmt w:val="decimal"/>
      <w:lvlText w:val="%1.%2.%3.%4.%5."/>
      <w:lvlJc w:val="left"/>
      <w:pPr>
        <w:ind w:left="1722" w:hanging="792"/>
      </w:pPr>
      <w:rPr>
        <w:rFonts w:hint="default"/>
      </w:rPr>
    </w:lvl>
    <w:lvl w:ilvl="5">
      <w:start w:val="1"/>
      <w:numFmt w:val="decimal"/>
      <w:lvlText w:val="%1.%2.%3.%4.%5.%6."/>
      <w:lvlJc w:val="left"/>
      <w:pPr>
        <w:ind w:left="2226" w:hanging="936"/>
      </w:pPr>
      <w:rPr>
        <w:rFonts w:hint="default"/>
      </w:rPr>
    </w:lvl>
    <w:lvl w:ilvl="6">
      <w:start w:val="1"/>
      <w:numFmt w:val="decimal"/>
      <w:lvlText w:val="%1.%2.%3.%4.%5.%6.%7."/>
      <w:lvlJc w:val="left"/>
      <w:pPr>
        <w:ind w:left="2730" w:hanging="1080"/>
      </w:pPr>
      <w:rPr>
        <w:rFonts w:hint="default"/>
      </w:rPr>
    </w:lvl>
    <w:lvl w:ilvl="7">
      <w:start w:val="1"/>
      <w:numFmt w:val="decimal"/>
      <w:lvlText w:val="%1.%2.%3.%4.%5.%6.%7.%8."/>
      <w:lvlJc w:val="left"/>
      <w:pPr>
        <w:ind w:left="3234" w:hanging="1224"/>
      </w:pPr>
      <w:rPr>
        <w:rFonts w:hint="default"/>
      </w:rPr>
    </w:lvl>
    <w:lvl w:ilvl="8">
      <w:start w:val="1"/>
      <w:numFmt w:val="decimal"/>
      <w:lvlText w:val="%1.%2.%3.%4.%5.%6.%7.%8.%9."/>
      <w:lvlJc w:val="left"/>
      <w:pPr>
        <w:ind w:left="3810" w:hanging="1440"/>
      </w:pPr>
      <w:rPr>
        <w:rFonts w:hint="default"/>
      </w:rPr>
    </w:lvl>
  </w:abstractNum>
  <w:abstractNum w:abstractNumId="1" w15:restartNumberingAfterBreak="0">
    <w:nsid w:val="0E1317C0"/>
    <w:multiLevelType w:val="hybridMultilevel"/>
    <w:tmpl w:val="AE1AA1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900541"/>
    <w:multiLevelType w:val="hybridMultilevel"/>
    <w:tmpl w:val="BB80BC32"/>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090D33"/>
    <w:multiLevelType w:val="hybridMultilevel"/>
    <w:tmpl w:val="B5D072C2"/>
    <w:lvl w:ilvl="0" w:tplc="8B64E852">
      <w:start w:val="2"/>
      <w:numFmt w:val="bullet"/>
      <w:lvlText w:val=""/>
      <w:lvlJc w:val="left"/>
      <w:pPr>
        <w:ind w:left="720" w:hanging="360"/>
      </w:pPr>
      <w:rPr>
        <w:rFonts w:ascii="Symbol" w:hAnsi="Symbol" w:cs="Arial" w:hint="default"/>
        <w:b w:val="0"/>
        <w:color w:val="5B9BD5" w:themeColor="accent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9B26BE"/>
    <w:multiLevelType w:val="hybridMultilevel"/>
    <w:tmpl w:val="4AE0C364"/>
    <w:lvl w:ilvl="0" w:tplc="58AE8A76">
      <w:start w:val="1"/>
      <w:numFmt w:val="decimal"/>
      <w:pStyle w:val="ListParagraph"/>
      <w:lvlText w:val="%1."/>
      <w:lvlJc w:val="left"/>
      <w:pPr>
        <w:ind w:left="3488" w:hanging="510"/>
      </w:pPr>
      <w:rPr>
        <w:rFonts w:ascii="Arial" w:hAnsi="Arial" w:hint="default"/>
        <w:b w:val="0"/>
        <w:i w:val="0"/>
        <w:color w:val="BFBFBF" w:themeColor="background1" w:themeShade="BF"/>
        <w:sz w:val="20"/>
      </w:rPr>
    </w:lvl>
    <w:lvl w:ilvl="1" w:tplc="9AEE24C2">
      <w:start w:val="1"/>
      <w:numFmt w:val="bullet"/>
      <w:lvlText w:val=""/>
      <w:lvlJc w:val="left"/>
      <w:pPr>
        <w:ind w:left="2160" w:hanging="360"/>
      </w:pPr>
      <w:rPr>
        <w:rFonts w:ascii="Symbol" w:hAnsi="Symbol" w:hint="default"/>
        <w:color w:val="00B0F0"/>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39209CF"/>
    <w:multiLevelType w:val="hybridMultilevel"/>
    <w:tmpl w:val="B1E8AD16"/>
    <w:lvl w:ilvl="0" w:tplc="150E3F0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942730"/>
    <w:multiLevelType w:val="hybridMultilevel"/>
    <w:tmpl w:val="2124DAAE"/>
    <w:lvl w:ilvl="0" w:tplc="FDF8A934">
      <w:start w:val="1"/>
      <w:numFmt w:val="lowerLetter"/>
      <w:pStyle w:val="MALetter-Alpha1"/>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5C53213"/>
    <w:multiLevelType w:val="multilevel"/>
    <w:tmpl w:val="85929B38"/>
    <w:lvl w:ilvl="0">
      <w:start w:val="1"/>
      <w:numFmt w:val="lowerRoman"/>
      <w:lvlText w:val="%1."/>
      <w:lvlJc w:val="right"/>
      <w:pPr>
        <w:ind w:left="720" w:hanging="360"/>
      </w:pPr>
      <w:rPr>
        <w:rFonts w:hint="default"/>
      </w:rPr>
    </w:lvl>
    <w:lvl w:ilvl="1">
      <w:start w:val="1"/>
      <w:numFmt w:val="lowerRoman"/>
      <w:pStyle w:val="MALetter-Alpha3"/>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7E40E9D"/>
    <w:multiLevelType w:val="multilevel"/>
    <w:tmpl w:val="520CFAA4"/>
    <w:styleLink w:val="CurrentList1"/>
    <w:lvl w:ilvl="0">
      <w:start w:val="1"/>
      <w:numFmt w:val="bullet"/>
      <w:lvlText w:val=""/>
      <w:lvlJc w:val="left"/>
      <w:pPr>
        <w:ind w:left="360" w:hanging="360"/>
      </w:pPr>
      <w:rPr>
        <w:rFonts w:ascii="Symbol" w:hAnsi="Symbol" w:hint="default"/>
        <w:color w:val="00AEEF"/>
        <w:u w:color="00AEEF"/>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52E52D7"/>
    <w:multiLevelType w:val="multilevel"/>
    <w:tmpl w:val="87EE3F66"/>
    <w:lvl w:ilvl="0">
      <w:start w:val="1"/>
      <w:numFmt w:val="decimal"/>
      <w:pStyle w:val="MALetter-Number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B76BFF"/>
    <w:multiLevelType w:val="hybridMultilevel"/>
    <w:tmpl w:val="520CFAA4"/>
    <w:lvl w:ilvl="0" w:tplc="139EFEC6">
      <w:start w:val="1"/>
      <w:numFmt w:val="bullet"/>
      <w:pStyle w:val="Bullet"/>
      <w:lvlText w:val=""/>
      <w:lvlJc w:val="left"/>
      <w:pPr>
        <w:ind w:left="360" w:hanging="360"/>
      </w:pPr>
      <w:rPr>
        <w:rFonts w:ascii="Symbol" w:hAnsi="Symbol" w:hint="default"/>
        <w:color w:val="00AEEF"/>
        <w:u w:color="00AEEF"/>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1C7356B"/>
    <w:multiLevelType w:val="hybridMultilevel"/>
    <w:tmpl w:val="D4F08322"/>
    <w:lvl w:ilvl="0" w:tplc="FFFFFFFF">
      <w:start w:val="1"/>
      <w:numFmt w:val="bullet"/>
      <w:lvlText w:val=""/>
      <w:lvlJc w:val="left"/>
      <w:pPr>
        <w:ind w:left="360" w:hanging="360"/>
      </w:pPr>
      <w:rPr>
        <w:rFonts w:ascii="Symbol" w:hAnsi="Symbol" w:hint="default"/>
        <w:color w:val="00AEEF"/>
        <w:u w:color="00AEEF"/>
      </w:rPr>
    </w:lvl>
    <w:lvl w:ilvl="1" w:tplc="9AEE24C2">
      <w:start w:val="1"/>
      <w:numFmt w:val="bullet"/>
      <w:lvlText w:val=""/>
      <w:lvlJc w:val="left"/>
      <w:pPr>
        <w:ind w:left="1080" w:hanging="360"/>
      </w:pPr>
      <w:rPr>
        <w:rFonts w:ascii="Symbol" w:hAnsi="Symbol" w:hint="default"/>
        <w:color w:val="00B0F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01206256">
    <w:abstractNumId w:val="6"/>
  </w:num>
  <w:num w:numId="2" w16cid:durableId="983852303">
    <w:abstractNumId w:val="7"/>
  </w:num>
  <w:num w:numId="3" w16cid:durableId="1649675541">
    <w:abstractNumId w:val="9"/>
  </w:num>
  <w:num w:numId="4" w16cid:durableId="235285621">
    <w:abstractNumId w:val="4"/>
  </w:num>
  <w:num w:numId="5" w16cid:durableId="1723476993">
    <w:abstractNumId w:val="0"/>
  </w:num>
  <w:num w:numId="6" w16cid:durableId="1722435382">
    <w:abstractNumId w:val="5"/>
  </w:num>
  <w:num w:numId="7" w16cid:durableId="278493664">
    <w:abstractNumId w:val="3"/>
  </w:num>
  <w:num w:numId="8" w16cid:durableId="316227791">
    <w:abstractNumId w:val="1"/>
  </w:num>
  <w:num w:numId="9" w16cid:durableId="1235120214">
    <w:abstractNumId w:val="2"/>
  </w:num>
  <w:num w:numId="10" w16cid:durableId="1401437798">
    <w:abstractNumId w:val="10"/>
  </w:num>
  <w:num w:numId="11" w16cid:durableId="18630329">
    <w:abstractNumId w:val="11"/>
  </w:num>
  <w:num w:numId="12" w16cid:durableId="131028627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clickAndTypeStyle w:val="Heading6Char"/>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3sjC2MDM1NTc0MjZQ0lEKTi0uzszPAykwrAUADfYwgywAAAA="/>
  </w:docVars>
  <w:rsids>
    <w:rsidRoot w:val="00231E6C"/>
    <w:rsid w:val="0000094C"/>
    <w:rsid w:val="00001DE7"/>
    <w:rsid w:val="00002FE7"/>
    <w:rsid w:val="00003719"/>
    <w:rsid w:val="0000405F"/>
    <w:rsid w:val="000053F0"/>
    <w:rsid w:val="00006301"/>
    <w:rsid w:val="000065C5"/>
    <w:rsid w:val="000102FF"/>
    <w:rsid w:val="000114AA"/>
    <w:rsid w:val="0001234D"/>
    <w:rsid w:val="00013259"/>
    <w:rsid w:val="00014E70"/>
    <w:rsid w:val="00014EB0"/>
    <w:rsid w:val="0001563C"/>
    <w:rsid w:val="00016C1A"/>
    <w:rsid w:val="000209FD"/>
    <w:rsid w:val="00020E70"/>
    <w:rsid w:val="00021D46"/>
    <w:rsid w:val="0002239F"/>
    <w:rsid w:val="00023A2C"/>
    <w:rsid w:val="00025624"/>
    <w:rsid w:val="000257B6"/>
    <w:rsid w:val="00025EE4"/>
    <w:rsid w:val="00025F49"/>
    <w:rsid w:val="00026F05"/>
    <w:rsid w:val="00027B9D"/>
    <w:rsid w:val="00031833"/>
    <w:rsid w:val="00031A50"/>
    <w:rsid w:val="00033DDB"/>
    <w:rsid w:val="000348C3"/>
    <w:rsid w:val="000352B8"/>
    <w:rsid w:val="000407E0"/>
    <w:rsid w:val="00042FC2"/>
    <w:rsid w:val="00043D4D"/>
    <w:rsid w:val="00043EBA"/>
    <w:rsid w:val="00044621"/>
    <w:rsid w:val="00045B3B"/>
    <w:rsid w:val="00045B8A"/>
    <w:rsid w:val="00045D46"/>
    <w:rsid w:val="00046117"/>
    <w:rsid w:val="000464CC"/>
    <w:rsid w:val="00046D97"/>
    <w:rsid w:val="00046DCC"/>
    <w:rsid w:val="00047B10"/>
    <w:rsid w:val="000505FB"/>
    <w:rsid w:val="000510E8"/>
    <w:rsid w:val="00051517"/>
    <w:rsid w:val="00053AD5"/>
    <w:rsid w:val="00053E22"/>
    <w:rsid w:val="00053F0B"/>
    <w:rsid w:val="00054729"/>
    <w:rsid w:val="0005572F"/>
    <w:rsid w:val="00056B12"/>
    <w:rsid w:val="00056E50"/>
    <w:rsid w:val="00057BB1"/>
    <w:rsid w:val="00057C98"/>
    <w:rsid w:val="00063511"/>
    <w:rsid w:val="000640F4"/>
    <w:rsid w:val="00066124"/>
    <w:rsid w:val="00066784"/>
    <w:rsid w:val="0006685F"/>
    <w:rsid w:val="00066AD8"/>
    <w:rsid w:val="0006742C"/>
    <w:rsid w:val="000709BA"/>
    <w:rsid w:val="000720E4"/>
    <w:rsid w:val="000747DC"/>
    <w:rsid w:val="00074D72"/>
    <w:rsid w:val="000757D0"/>
    <w:rsid w:val="00075E4C"/>
    <w:rsid w:val="00077150"/>
    <w:rsid w:val="0007731F"/>
    <w:rsid w:val="000773EB"/>
    <w:rsid w:val="00077830"/>
    <w:rsid w:val="00080A6F"/>
    <w:rsid w:val="000818DD"/>
    <w:rsid w:val="000820D9"/>
    <w:rsid w:val="000829D7"/>
    <w:rsid w:val="00082C98"/>
    <w:rsid w:val="000833C0"/>
    <w:rsid w:val="00083611"/>
    <w:rsid w:val="00083A94"/>
    <w:rsid w:val="00085DBF"/>
    <w:rsid w:val="00086082"/>
    <w:rsid w:val="00086A4D"/>
    <w:rsid w:val="00092C3A"/>
    <w:rsid w:val="000931E8"/>
    <w:rsid w:val="00094936"/>
    <w:rsid w:val="00094CD8"/>
    <w:rsid w:val="0009794D"/>
    <w:rsid w:val="000A01E3"/>
    <w:rsid w:val="000A0AE1"/>
    <w:rsid w:val="000A0D50"/>
    <w:rsid w:val="000A11BA"/>
    <w:rsid w:val="000A319D"/>
    <w:rsid w:val="000A3E57"/>
    <w:rsid w:val="000A530F"/>
    <w:rsid w:val="000A5441"/>
    <w:rsid w:val="000A5B7B"/>
    <w:rsid w:val="000A64D1"/>
    <w:rsid w:val="000A6AA2"/>
    <w:rsid w:val="000A7D82"/>
    <w:rsid w:val="000B05B4"/>
    <w:rsid w:val="000B162E"/>
    <w:rsid w:val="000B5668"/>
    <w:rsid w:val="000B656F"/>
    <w:rsid w:val="000B756A"/>
    <w:rsid w:val="000C1058"/>
    <w:rsid w:val="000C279E"/>
    <w:rsid w:val="000C301C"/>
    <w:rsid w:val="000C4878"/>
    <w:rsid w:val="000C500D"/>
    <w:rsid w:val="000C559A"/>
    <w:rsid w:val="000C6F4E"/>
    <w:rsid w:val="000C71E7"/>
    <w:rsid w:val="000C7379"/>
    <w:rsid w:val="000C7AA0"/>
    <w:rsid w:val="000D10D9"/>
    <w:rsid w:val="000D1173"/>
    <w:rsid w:val="000D1FA7"/>
    <w:rsid w:val="000D263E"/>
    <w:rsid w:val="000D3047"/>
    <w:rsid w:val="000D3271"/>
    <w:rsid w:val="000D5352"/>
    <w:rsid w:val="000D5461"/>
    <w:rsid w:val="000D6507"/>
    <w:rsid w:val="000D66AE"/>
    <w:rsid w:val="000D6F10"/>
    <w:rsid w:val="000D78B3"/>
    <w:rsid w:val="000E0B4B"/>
    <w:rsid w:val="000E1F73"/>
    <w:rsid w:val="000E2319"/>
    <w:rsid w:val="000E4709"/>
    <w:rsid w:val="000E4756"/>
    <w:rsid w:val="000E5434"/>
    <w:rsid w:val="000E61C8"/>
    <w:rsid w:val="000E68FC"/>
    <w:rsid w:val="000F292F"/>
    <w:rsid w:val="000F2A1B"/>
    <w:rsid w:val="000F31EA"/>
    <w:rsid w:val="000F39A3"/>
    <w:rsid w:val="000F4D6C"/>
    <w:rsid w:val="000F5191"/>
    <w:rsid w:val="000F5355"/>
    <w:rsid w:val="000F574E"/>
    <w:rsid w:val="000F5CD3"/>
    <w:rsid w:val="000F6491"/>
    <w:rsid w:val="000F67F5"/>
    <w:rsid w:val="001001F6"/>
    <w:rsid w:val="00102D38"/>
    <w:rsid w:val="00102FB3"/>
    <w:rsid w:val="0010302B"/>
    <w:rsid w:val="00103DC3"/>
    <w:rsid w:val="001051E2"/>
    <w:rsid w:val="00105394"/>
    <w:rsid w:val="00106F9C"/>
    <w:rsid w:val="0010763C"/>
    <w:rsid w:val="00107C7D"/>
    <w:rsid w:val="00107D2E"/>
    <w:rsid w:val="00107D70"/>
    <w:rsid w:val="00112F36"/>
    <w:rsid w:val="001130CA"/>
    <w:rsid w:val="00113232"/>
    <w:rsid w:val="00113321"/>
    <w:rsid w:val="001165B2"/>
    <w:rsid w:val="0011749E"/>
    <w:rsid w:val="001176AE"/>
    <w:rsid w:val="00120126"/>
    <w:rsid w:val="00120335"/>
    <w:rsid w:val="00120AC5"/>
    <w:rsid w:val="001224FF"/>
    <w:rsid w:val="00122A7B"/>
    <w:rsid w:val="00122CA8"/>
    <w:rsid w:val="00122DF0"/>
    <w:rsid w:val="00123ADF"/>
    <w:rsid w:val="00130781"/>
    <w:rsid w:val="00130D81"/>
    <w:rsid w:val="0013105E"/>
    <w:rsid w:val="0013150C"/>
    <w:rsid w:val="00131DC2"/>
    <w:rsid w:val="0013207A"/>
    <w:rsid w:val="00133799"/>
    <w:rsid w:val="001344A6"/>
    <w:rsid w:val="00134C58"/>
    <w:rsid w:val="001351C0"/>
    <w:rsid w:val="001360A9"/>
    <w:rsid w:val="00136762"/>
    <w:rsid w:val="001374AE"/>
    <w:rsid w:val="00137E47"/>
    <w:rsid w:val="00137FA4"/>
    <w:rsid w:val="001401B7"/>
    <w:rsid w:val="0014301D"/>
    <w:rsid w:val="0014304B"/>
    <w:rsid w:val="001433C7"/>
    <w:rsid w:val="00143599"/>
    <w:rsid w:val="00143766"/>
    <w:rsid w:val="001447A1"/>
    <w:rsid w:val="001452F3"/>
    <w:rsid w:val="00146760"/>
    <w:rsid w:val="0015072E"/>
    <w:rsid w:val="00150927"/>
    <w:rsid w:val="00151176"/>
    <w:rsid w:val="00152452"/>
    <w:rsid w:val="00152AA2"/>
    <w:rsid w:val="00153348"/>
    <w:rsid w:val="00153D05"/>
    <w:rsid w:val="0015577C"/>
    <w:rsid w:val="00155AEB"/>
    <w:rsid w:val="0015645A"/>
    <w:rsid w:val="0015798D"/>
    <w:rsid w:val="00160F4F"/>
    <w:rsid w:val="00161014"/>
    <w:rsid w:val="001616A7"/>
    <w:rsid w:val="0016218D"/>
    <w:rsid w:val="001622E9"/>
    <w:rsid w:val="001639CD"/>
    <w:rsid w:val="00164899"/>
    <w:rsid w:val="00164AFA"/>
    <w:rsid w:val="00164DDB"/>
    <w:rsid w:val="00166048"/>
    <w:rsid w:val="001673C5"/>
    <w:rsid w:val="00167A95"/>
    <w:rsid w:val="0017161D"/>
    <w:rsid w:val="001739EC"/>
    <w:rsid w:val="001767CD"/>
    <w:rsid w:val="00177313"/>
    <w:rsid w:val="00177B30"/>
    <w:rsid w:val="00180D5A"/>
    <w:rsid w:val="0018133F"/>
    <w:rsid w:val="00181376"/>
    <w:rsid w:val="00181AE5"/>
    <w:rsid w:val="00181E6B"/>
    <w:rsid w:val="00182F6D"/>
    <w:rsid w:val="001832B8"/>
    <w:rsid w:val="001839C4"/>
    <w:rsid w:val="001854AB"/>
    <w:rsid w:val="0018570A"/>
    <w:rsid w:val="00187051"/>
    <w:rsid w:val="00190B0C"/>
    <w:rsid w:val="00191F79"/>
    <w:rsid w:val="0019262F"/>
    <w:rsid w:val="00194A30"/>
    <w:rsid w:val="0019574A"/>
    <w:rsid w:val="00196FBA"/>
    <w:rsid w:val="0019743B"/>
    <w:rsid w:val="001A089C"/>
    <w:rsid w:val="001A0C86"/>
    <w:rsid w:val="001A10C0"/>
    <w:rsid w:val="001A14CE"/>
    <w:rsid w:val="001A222B"/>
    <w:rsid w:val="001A2C14"/>
    <w:rsid w:val="001A3DDB"/>
    <w:rsid w:val="001A3F11"/>
    <w:rsid w:val="001A430D"/>
    <w:rsid w:val="001A4A2D"/>
    <w:rsid w:val="001A4C0D"/>
    <w:rsid w:val="001A5036"/>
    <w:rsid w:val="001A50CB"/>
    <w:rsid w:val="001A539E"/>
    <w:rsid w:val="001A5B21"/>
    <w:rsid w:val="001B04AD"/>
    <w:rsid w:val="001B07EF"/>
    <w:rsid w:val="001B10B7"/>
    <w:rsid w:val="001B2527"/>
    <w:rsid w:val="001B298A"/>
    <w:rsid w:val="001B394A"/>
    <w:rsid w:val="001B5AFA"/>
    <w:rsid w:val="001B7F03"/>
    <w:rsid w:val="001C0C06"/>
    <w:rsid w:val="001C316A"/>
    <w:rsid w:val="001C363E"/>
    <w:rsid w:val="001C365B"/>
    <w:rsid w:val="001C38CA"/>
    <w:rsid w:val="001C544E"/>
    <w:rsid w:val="001C5F36"/>
    <w:rsid w:val="001C6132"/>
    <w:rsid w:val="001C64D9"/>
    <w:rsid w:val="001C7418"/>
    <w:rsid w:val="001C7F44"/>
    <w:rsid w:val="001C7FF4"/>
    <w:rsid w:val="001D021A"/>
    <w:rsid w:val="001D16A2"/>
    <w:rsid w:val="001D3017"/>
    <w:rsid w:val="001D4262"/>
    <w:rsid w:val="001D4A7B"/>
    <w:rsid w:val="001D5920"/>
    <w:rsid w:val="001D5EC4"/>
    <w:rsid w:val="001D71C1"/>
    <w:rsid w:val="001D7B2B"/>
    <w:rsid w:val="001E01BC"/>
    <w:rsid w:val="001E0875"/>
    <w:rsid w:val="001E278E"/>
    <w:rsid w:val="001E34D1"/>
    <w:rsid w:val="001E5795"/>
    <w:rsid w:val="001E6E6C"/>
    <w:rsid w:val="001E7549"/>
    <w:rsid w:val="001E79C4"/>
    <w:rsid w:val="001F08C0"/>
    <w:rsid w:val="001F145A"/>
    <w:rsid w:val="001F1B68"/>
    <w:rsid w:val="001F37B4"/>
    <w:rsid w:val="001F43C3"/>
    <w:rsid w:val="001F4CCA"/>
    <w:rsid w:val="001F5AF5"/>
    <w:rsid w:val="001F5EF6"/>
    <w:rsid w:val="001F6889"/>
    <w:rsid w:val="00200260"/>
    <w:rsid w:val="002008ED"/>
    <w:rsid w:val="00200C97"/>
    <w:rsid w:val="00201494"/>
    <w:rsid w:val="00202F87"/>
    <w:rsid w:val="002036F9"/>
    <w:rsid w:val="00203C4D"/>
    <w:rsid w:val="002041A2"/>
    <w:rsid w:val="00204F9F"/>
    <w:rsid w:val="00207026"/>
    <w:rsid w:val="00207799"/>
    <w:rsid w:val="00210B90"/>
    <w:rsid w:val="002120AB"/>
    <w:rsid w:val="00212987"/>
    <w:rsid w:val="00213474"/>
    <w:rsid w:val="00214233"/>
    <w:rsid w:val="00214409"/>
    <w:rsid w:val="00214C96"/>
    <w:rsid w:val="00215C7A"/>
    <w:rsid w:val="002167DB"/>
    <w:rsid w:val="00217711"/>
    <w:rsid w:val="002211C7"/>
    <w:rsid w:val="002216B2"/>
    <w:rsid w:val="00222AE1"/>
    <w:rsid w:val="0022404F"/>
    <w:rsid w:val="002241ED"/>
    <w:rsid w:val="002242ED"/>
    <w:rsid w:val="002255DA"/>
    <w:rsid w:val="00225C82"/>
    <w:rsid w:val="00226CF9"/>
    <w:rsid w:val="00227834"/>
    <w:rsid w:val="00230D8D"/>
    <w:rsid w:val="00231E6C"/>
    <w:rsid w:val="00231F20"/>
    <w:rsid w:val="0023412F"/>
    <w:rsid w:val="0023438D"/>
    <w:rsid w:val="00234E1F"/>
    <w:rsid w:val="00235034"/>
    <w:rsid w:val="002374B8"/>
    <w:rsid w:val="00237538"/>
    <w:rsid w:val="00237BED"/>
    <w:rsid w:val="00240DD9"/>
    <w:rsid w:val="00240EE2"/>
    <w:rsid w:val="00241AEA"/>
    <w:rsid w:val="00241E1F"/>
    <w:rsid w:val="00246630"/>
    <w:rsid w:val="0024742A"/>
    <w:rsid w:val="00250BF1"/>
    <w:rsid w:val="00251CA6"/>
    <w:rsid w:val="002529D9"/>
    <w:rsid w:val="002529E2"/>
    <w:rsid w:val="00252F42"/>
    <w:rsid w:val="0025483E"/>
    <w:rsid w:val="00256677"/>
    <w:rsid w:val="00256B73"/>
    <w:rsid w:val="00256FAA"/>
    <w:rsid w:val="00260B55"/>
    <w:rsid w:val="00261137"/>
    <w:rsid w:val="00261B3F"/>
    <w:rsid w:val="00261F7A"/>
    <w:rsid w:val="002628F0"/>
    <w:rsid w:val="00262C57"/>
    <w:rsid w:val="00262D08"/>
    <w:rsid w:val="002640B2"/>
    <w:rsid w:val="00264D65"/>
    <w:rsid w:val="00265376"/>
    <w:rsid w:val="00265A6C"/>
    <w:rsid w:val="00266A65"/>
    <w:rsid w:val="0027011B"/>
    <w:rsid w:val="002720A2"/>
    <w:rsid w:val="0027359B"/>
    <w:rsid w:val="00274F2E"/>
    <w:rsid w:val="00275746"/>
    <w:rsid w:val="00275875"/>
    <w:rsid w:val="002773B0"/>
    <w:rsid w:val="002776AA"/>
    <w:rsid w:val="00281A75"/>
    <w:rsid w:val="00281FB2"/>
    <w:rsid w:val="002828FB"/>
    <w:rsid w:val="00282934"/>
    <w:rsid w:val="00284572"/>
    <w:rsid w:val="0028507F"/>
    <w:rsid w:val="00285489"/>
    <w:rsid w:val="002866AA"/>
    <w:rsid w:val="00286A7B"/>
    <w:rsid w:val="00290014"/>
    <w:rsid w:val="00290E79"/>
    <w:rsid w:val="00291757"/>
    <w:rsid w:val="00291A3D"/>
    <w:rsid w:val="002939C1"/>
    <w:rsid w:val="0029457C"/>
    <w:rsid w:val="00295B2F"/>
    <w:rsid w:val="00295E4D"/>
    <w:rsid w:val="00297D61"/>
    <w:rsid w:val="002A02F6"/>
    <w:rsid w:val="002A0680"/>
    <w:rsid w:val="002A1258"/>
    <w:rsid w:val="002A2981"/>
    <w:rsid w:val="002A6041"/>
    <w:rsid w:val="002A6D41"/>
    <w:rsid w:val="002A6F42"/>
    <w:rsid w:val="002A7263"/>
    <w:rsid w:val="002A7445"/>
    <w:rsid w:val="002A7E1C"/>
    <w:rsid w:val="002B050D"/>
    <w:rsid w:val="002B178E"/>
    <w:rsid w:val="002B1E82"/>
    <w:rsid w:val="002B39B3"/>
    <w:rsid w:val="002B3FEB"/>
    <w:rsid w:val="002B448C"/>
    <w:rsid w:val="002B5BB2"/>
    <w:rsid w:val="002C073B"/>
    <w:rsid w:val="002C20AF"/>
    <w:rsid w:val="002C254F"/>
    <w:rsid w:val="002C3556"/>
    <w:rsid w:val="002C3C21"/>
    <w:rsid w:val="002C4288"/>
    <w:rsid w:val="002C43A4"/>
    <w:rsid w:val="002C5452"/>
    <w:rsid w:val="002C59F8"/>
    <w:rsid w:val="002C61DA"/>
    <w:rsid w:val="002C6DFB"/>
    <w:rsid w:val="002C72E1"/>
    <w:rsid w:val="002C7F17"/>
    <w:rsid w:val="002D038B"/>
    <w:rsid w:val="002D2CD6"/>
    <w:rsid w:val="002D3737"/>
    <w:rsid w:val="002D4B04"/>
    <w:rsid w:val="002D4CD1"/>
    <w:rsid w:val="002D5313"/>
    <w:rsid w:val="002D627B"/>
    <w:rsid w:val="002D66E0"/>
    <w:rsid w:val="002D697A"/>
    <w:rsid w:val="002E0829"/>
    <w:rsid w:val="002E0B72"/>
    <w:rsid w:val="002E1260"/>
    <w:rsid w:val="002E13C1"/>
    <w:rsid w:val="002E1C45"/>
    <w:rsid w:val="002E2992"/>
    <w:rsid w:val="002E53B1"/>
    <w:rsid w:val="002E555B"/>
    <w:rsid w:val="002E646A"/>
    <w:rsid w:val="002E68A7"/>
    <w:rsid w:val="002E7047"/>
    <w:rsid w:val="002E78D8"/>
    <w:rsid w:val="002E79D8"/>
    <w:rsid w:val="002F024B"/>
    <w:rsid w:val="002F068E"/>
    <w:rsid w:val="002F069E"/>
    <w:rsid w:val="002F1653"/>
    <w:rsid w:val="002F2D16"/>
    <w:rsid w:val="002F2DC6"/>
    <w:rsid w:val="002F3847"/>
    <w:rsid w:val="002F393E"/>
    <w:rsid w:val="002F45D5"/>
    <w:rsid w:val="002F524A"/>
    <w:rsid w:val="002F5A71"/>
    <w:rsid w:val="002F5B6A"/>
    <w:rsid w:val="002F6B05"/>
    <w:rsid w:val="002F6C8A"/>
    <w:rsid w:val="002F6D09"/>
    <w:rsid w:val="002F7546"/>
    <w:rsid w:val="002F7B5E"/>
    <w:rsid w:val="003005AD"/>
    <w:rsid w:val="00301005"/>
    <w:rsid w:val="00301CB8"/>
    <w:rsid w:val="003020C7"/>
    <w:rsid w:val="0030330F"/>
    <w:rsid w:val="00303B71"/>
    <w:rsid w:val="003051F8"/>
    <w:rsid w:val="00305724"/>
    <w:rsid w:val="00305760"/>
    <w:rsid w:val="00305EE5"/>
    <w:rsid w:val="0030617C"/>
    <w:rsid w:val="00306188"/>
    <w:rsid w:val="00306A84"/>
    <w:rsid w:val="0031036F"/>
    <w:rsid w:val="0031099A"/>
    <w:rsid w:val="00312E86"/>
    <w:rsid w:val="00315C0C"/>
    <w:rsid w:val="0031683A"/>
    <w:rsid w:val="00316994"/>
    <w:rsid w:val="00321325"/>
    <w:rsid w:val="003244EF"/>
    <w:rsid w:val="003253A7"/>
    <w:rsid w:val="00326202"/>
    <w:rsid w:val="00326750"/>
    <w:rsid w:val="003278B1"/>
    <w:rsid w:val="00330A4D"/>
    <w:rsid w:val="00330C01"/>
    <w:rsid w:val="00330E1B"/>
    <w:rsid w:val="00331C5F"/>
    <w:rsid w:val="00333CAF"/>
    <w:rsid w:val="003340FA"/>
    <w:rsid w:val="00335423"/>
    <w:rsid w:val="00335518"/>
    <w:rsid w:val="003358C6"/>
    <w:rsid w:val="00335EE6"/>
    <w:rsid w:val="00337458"/>
    <w:rsid w:val="00341A67"/>
    <w:rsid w:val="00342B16"/>
    <w:rsid w:val="00343852"/>
    <w:rsid w:val="003439CF"/>
    <w:rsid w:val="00343D12"/>
    <w:rsid w:val="0034459B"/>
    <w:rsid w:val="00346F04"/>
    <w:rsid w:val="003473F7"/>
    <w:rsid w:val="00350B96"/>
    <w:rsid w:val="00352586"/>
    <w:rsid w:val="00355C50"/>
    <w:rsid w:val="00356AB9"/>
    <w:rsid w:val="003572A5"/>
    <w:rsid w:val="003573D5"/>
    <w:rsid w:val="0035782A"/>
    <w:rsid w:val="00362624"/>
    <w:rsid w:val="00362649"/>
    <w:rsid w:val="003641E0"/>
    <w:rsid w:val="00364793"/>
    <w:rsid w:val="0036716D"/>
    <w:rsid w:val="00367796"/>
    <w:rsid w:val="00370194"/>
    <w:rsid w:val="003708B2"/>
    <w:rsid w:val="00370EBB"/>
    <w:rsid w:val="003718D5"/>
    <w:rsid w:val="00372FBA"/>
    <w:rsid w:val="0037307C"/>
    <w:rsid w:val="00373A6A"/>
    <w:rsid w:val="00373BBF"/>
    <w:rsid w:val="003742BF"/>
    <w:rsid w:val="00375111"/>
    <w:rsid w:val="00375855"/>
    <w:rsid w:val="00375D78"/>
    <w:rsid w:val="00375D85"/>
    <w:rsid w:val="00376617"/>
    <w:rsid w:val="00376BFE"/>
    <w:rsid w:val="00376D0F"/>
    <w:rsid w:val="003776E2"/>
    <w:rsid w:val="00377824"/>
    <w:rsid w:val="00377BB2"/>
    <w:rsid w:val="00377EC6"/>
    <w:rsid w:val="00381124"/>
    <w:rsid w:val="00381A10"/>
    <w:rsid w:val="0038624E"/>
    <w:rsid w:val="00386305"/>
    <w:rsid w:val="003863EB"/>
    <w:rsid w:val="00386D97"/>
    <w:rsid w:val="00387D6E"/>
    <w:rsid w:val="00390440"/>
    <w:rsid w:val="00391074"/>
    <w:rsid w:val="00391BE0"/>
    <w:rsid w:val="003922DD"/>
    <w:rsid w:val="003938E0"/>
    <w:rsid w:val="00395813"/>
    <w:rsid w:val="003A0CF8"/>
    <w:rsid w:val="003A0E50"/>
    <w:rsid w:val="003A1F05"/>
    <w:rsid w:val="003A4D9C"/>
    <w:rsid w:val="003A5077"/>
    <w:rsid w:val="003A7377"/>
    <w:rsid w:val="003A7779"/>
    <w:rsid w:val="003A7911"/>
    <w:rsid w:val="003A7CDC"/>
    <w:rsid w:val="003A7F47"/>
    <w:rsid w:val="003B0E44"/>
    <w:rsid w:val="003B20FA"/>
    <w:rsid w:val="003B214B"/>
    <w:rsid w:val="003B29FE"/>
    <w:rsid w:val="003B3D62"/>
    <w:rsid w:val="003B42C2"/>
    <w:rsid w:val="003B4939"/>
    <w:rsid w:val="003B49A8"/>
    <w:rsid w:val="003B4A85"/>
    <w:rsid w:val="003B509B"/>
    <w:rsid w:val="003B6759"/>
    <w:rsid w:val="003B6EF3"/>
    <w:rsid w:val="003C034C"/>
    <w:rsid w:val="003C24C5"/>
    <w:rsid w:val="003C4483"/>
    <w:rsid w:val="003C4648"/>
    <w:rsid w:val="003C7387"/>
    <w:rsid w:val="003C7A3D"/>
    <w:rsid w:val="003D00E9"/>
    <w:rsid w:val="003D1F32"/>
    <w:rsid w:val="003D2E1B"/>
    <w:rsid w:val="003D3E33"/>
    <w:rsid w:val="003D5462"/>
    <w:rsid w:val="003D581C"/>
    <w:rsid w:val="003D7016"/>
    <w:rsid w:val="003D770F"/>
    <w:rsid w:val="003D79ED"/>
    <w:rsid w:val="003E033E"/>
    <w:rsid w:val="003E0868"/>
    <w:rsid w:val="003E1986"/>
    <w:rsid w:val="003E26B7"/>
    <w:rsid w:val="003E6116"/>
    <w:rsid w:val="003E6A71"/>
    <w:rsid w:val="003E6F21"/>
    <w:rsid w:val="003E7B6A"/>
    <w:rsid w:val="003F0857"/>
    <w:rsid w:val="003F1274"/>
    <w:rsid w:val="003F1438"/>
    <w:rsid w:val="003F2160"/>
    <w:rsid w:val="003F3D08"/>
    <w:rsid w:val="003F3DDF"/>
    <w:rsid w:val="003F558A"/>
    <w:rsid w:val="003F5B99"/>
    <w:rsid w:val="003F66A0"/>
    <w:rsid w:val="003F7A14"/>
    <w:rsid w:val="003F7FEF"/>
    <w:rsid w:val="0040026D"/>
    <w:rsid w:val="004002E9"/>
    <w:rsid w:val="00400949"/>
    <w:rsid w:val="00400C48"/>
    <w:rsid w:val="0040121A"/>
    <w:rsid w:val="0040184D"/>
    <w:rsid w:val="00401937"/>
    <w:rsid w:val="00401955"/>
    <w:rsid w:val="00402830"/>
    <w:rsid w:val="00404F20"/>
    <w:rsid w:val="00405946"/>
    <w:rsid w:val="004060E0"/>
    <w:rsid w:val="00411A22"/>
    <w:rsid w:val="00411CBD"/>
    <w:rsid w:val="00412756"/>
    <w:rsid w:val="00412DBC"/>
    <w:rsid w:val="00417809"/>
    <w:rsid w:val="00420C9D"/>
    <w:rsid w:val="00423EEF"/>
    <w:rsid w:val="004260DF"/>
    <w:rsid w:val="00426372"/>
    <w:rsid w:val="00426E13"/>
    <w:rsid w:val="004270F9"/>
    <w:rsid w:val="004300E3"/>
    <w:rsid w:val="00430C9A"/>
    <w:rsid w:val="00432548"/>
    <w:rsid w:val="0043432A"/>
    <w:rsid w:val="00434655"/>
    <w:rsid w:val="00434662"/>
    <w:rsid w:val="00436693"/>
    <w:rsid w:val="0043740E"/>
    <w:rsid w:val="0043765F"/>
    <w:rsid w:val="00437855"/>
    <w:rsid w:val="004407B7"/>
    <w:rsid w:val="00440DA1"/>
    <w:rsid w:val="0044124A"/>
    <w:rsid w:val="0044150C"/>
    <w:rsid w:val="00442577"/>
    <w:rsid w:val="00443A4B"/>
    <w:rsid w:val="00445004"/>
    <w:rsid w:val="004459AD"/>
    <w:rsid w:val="004461D8"/>
    <w:rsid w:val="004467B3"/>
    <w:rsid w:val="00450647"/>
    <w:rsid w:val="00450E9F"/>
    <w:rsid w:val="00451595"/>
    <w:rsid w:val="00453B20"/>
    <w:rsid w:val="004546F4"/>
    <w:rsid w:val="004556C6"/>
    <w:rsid w:val="0045585A"/>
    <w:rsid w:val="00461500"/>
    <w:rsid w:val="00462BA2"/>
    <w:rsid w:val="004630C9"/>
    <w:rsid w:val="004630DB"/>
    <w:rsid w:val="00463715"/>
    <w:rsid w:val="00464D63"/>
    <w:rsid w:val="0046530D"/>
    <w:rsid w:val="0046538F"/>
    <w:rsid w:val="0046577B"/>
    <w:rsid w:val="00466D69"/>
    <w:rsid w:val="00466F76"/>
    <w:rsid w:val="0046740D"/>
    <w:rsid w:val="00470EB8"/>
    <w:rsid w:val="0047195D"/>
    <w:rsid w:val="00471A4B"/>
    <w:rsid w:val="00471BDF"/>
    <w:rsid w:val="00471F03"/>
    <w:rsid w:val="004725A3"/>
    <w:rsid w:val="00472A74"/>
    <w:rsid w:val="00472A77"/>
    <w:rsid w:val="00473148"/>
    <w:rsid w:val="004732C3"/>
    <w:rsid w:val="004736CF"/>
    <w:rsid w:val="00475156"/>
    <w:rsid w:val="004763BD"/>
    <w:rsid w:val="00477AF6"/>
    <w:rsid w:val="00480E73"/>
    <w:rsid w:val="00480EE8"/>
    <w:rsid w:val="004812BF"/>
    <w:rsid w:val="00481AF8"/>
    <w:rsid w:val="00485046"/>
    <w:rsid w:val="00486803"/>
    <w:rsid w:val="004877B9"/>
    <w:rsid w:val="00491EC8"/>
    <w:rsid w:val="00492E36"/>
    <w:rsid w:val="004934F7"/>
    <w:rsid w:val="00494175"/>
    <w:rsid w:val="004951F9"/>
    <w:rsid w:val="00496151"/>
    <w:rsid w:val="00497A1D"/>
    <w:rsid w:val="004A0478"/>
    <w:rsid w:val="004A05E4"/>
    <w:rsid w:val="004A0AE2"/>
    <w:rsid w:val="004A1577"/>
    <w:rsid w:val="004A2A80"/>
    <w:rsid w:val="004A2E72"/>
    <w:rsid w:val="004A337C"/>
    <w:rsid w:val="004A3AC9"/>
    <w:rsid w:val="004A4080"/>
    <w:rsid w:val="004A69A7"/>
    <w:rsid w:val="004A6DEB"/>
    <w:rsid w:val="004A7102"/>
    <w:rsid w:val="004A7391"/>
    <w:rsid w:val="004B0B62"/>
    <w:rsid w:val="004B13F9"/>
    <w:rsid w:val="004B1EB5"/>
    <w:rsid w:val="004B2301"/>
    <w:rsid w:val="004B2F3F"/>
    <w:rsid w:val="004B3893"/>
    <w:rsid w:val="004B3F2C"/>
    <w:rsid w:val="004B469A"/>
    <w:rsid w:val="004B4849"/>
    <w:rsid w:val="004B4964"/>
    <w:rsid w:val="004B4D45"/>
    <w:rsid w:val="004B6240"/>
    <w:rsid w:val="004B7D30"/>
    <w:rsid w:val="004C07B7"/>
    <w:rsid w:val="004C07F2"/>
    <w:rsid w:val="004C2531"/>
    <w:rsid w:val="004C4174"/>
    <w:rsid w:val="004C57E1"/>
    <w:rsid w:val="004C720E"/>
    <w:rsid w:val="004D0C75"/>
    <w:rsid w:val="004D13C1"/>
    <w:rsid w:val="004D2230"/>
    <w:rsid w:val="004D2A7B"/>
    <w:rsid w:val="004D30C5"/>
    <w:rsid w:val="004D399E"/>
    <w:rsid w:val="004D3C71"/>
    <w:rsid w:val="004D4F27"/>
    <w:rsid w:val="004E0263"/>
    <w:rsid w:val="004E0FEB"/>
    <w:rsid w:val="004E1608"/>
    <w:rsid w:val="004E2076"/>
    <w:rsid w:val="004E2B83"/>
    <w:rsid w:val="004E365E"/>
    <w:rsid w:val="004E38EE"/>
    <w:rsid w:val="004E4FA4"/>
    <w:rsid w:val="004E56BA"/>
    <w:rsid w:val="004E58EB"/>
    <w:rsid w:val="004E6600"/>
    <w:rsid w:val="004E6A88"/>
    <w:rsid w:val="004E7BE8"/>
    <w:rsid w:val="004F08E3"/>
    <w:rsid w:val="004F181A"/>
    <w:rsid w:val="004F1911"/>
    <w:rsid w:val="004F2C41"/>
    <w:rsid w:val="004F32A0"/>
    <w:rsid w:val="004F4534"/>
    <w:rsid w:val="004F4D35"/>
    <w:rsid w:val="004F5422"/>
    <w:rsid w:val="004F6140"/>
    <w:rsid w:val="004F71A0"/>
    <w:rsid w:val="00501319"/>
    <w:rsid w:val="00501642"/>
    <w:rsid w:val="00501717"/>
    <w:rsid w:val="0050217A"/>
    <w:rsid w:val="005027EF"/>
    <w:rsid w:val="0050400B"/>
    <w:rsid w:val="0050457A"/>
    <w:rsid w:val="005047A0"/>
    <w:rsid w:val="00504DBE"/>
    <w:rsid w:val="0050726B"/>
    <w:rsid w:val="00507D8D"/>
    <w:rsid w:val="00510076"/>
    <w:rsid w:val="00510786"/>
    <w:rsid w:val="00510F67"/>
    <w:rsid w:val="00511123"/>
    <w:rsid w:val="00511EFE"/>
    <w:rsid w:val="005138F2"/>
    <w:rsid w:val="00513B76"/>
    <w:rsid w:val="005149A6"/>
    <w:rsid w:val="00516C70"/>
    <w:rsid w:val="00516DE4"/>
    <w:rsid w:val="00516E25"/>
    <w:rsid w:val="00517E23"/>
    <w:rsid w:val="00517E96"/>
    <w:rsid w:val="00520867"/>
    <w:rsid w:val="005215D6"/>
    <w:rsid w:val="00521C11"/>
    <w:rsid w:val="00522400"/>
    <w:rsid w:val="00522881"/>
    <w:rsid w:val="00523071"/>
    <w:rsid w:val="00523EE5"/>
    <w:rsid w:val="00525D36"/>
    <w:rsid w:val="0052753D"/>
    <w:rsid w:val="00530045"/>
    <w:rsid w:val="00530483"/>
    <w:rsid w:val="00532054"/>
    <w:rsid w:val="005325B7"/>
    <w:rsid w:val="005334A7"/>
    <w:rsid w:val="00533DEF"/>
    <w:rsid w:val="00534BF3"/>
    <w:rsid w:val="0053515F"/>
    <w:rsid w:val="00536841"/>
    <w:rsid w:val="00536B2D"/>
    <w:rsid w:val="00536DFB"/>
    <w:rsid w:val="00540BAC"/>
    <w:rsid w:val="0054273E"/>
    <w:rsid w:val="00542842"/>
    <w:rsid w:val="00542BD0"/>
    <w:rsid w:val="00545F0F"/>
    <w:rsid w:val="00546136"/>
    <w:rsid w:val="00546C3B"/>
    <w:rsid w:val="005504AB"/>
    <w:rsid w:val="00551556"/>
    <w:rsid w:val="00551AA4"/>
    <w:rsid w:val="00553ECA"/>
    <w:rsid w:val="00554FA6"/>
    <w:rsid w:val="00555BD6"/>
    <w:rsid w:val="00556320"/>
    <w:rsid w:val="00557A2F"/>
    <w:rsid w:val="00557C86"/>
    <w:rsid w:val="00560142"/>
    <w:rsid w:val="00562E55"/>
    <w:rsid w:val="00562FEF"/>
    <w:rsid w:val="005633BA"/>
    <w:rsid w:val="00563BDE"/>
    <w:rsid w:val="0056438B"/>
    <w:rsid w:val="00566185"/>
    <w:rsid w:val="00567388"/>
    <w:rsid w:val="00567932"/>
    <w:rsid w:val="00571C04"/>
    <w:rsid w:val="005721F4"/>
    <w:rsid w:val="00574266"/>
    <w:rsid w:val="005754F7"/>
    <w:rsid w:val="0057557B"/>
    <w:rsid w:val="00576032"/>
    <w:rsid w:val="00576B99"/>
    <w:rsid w:val="00581B80"/>
    <w:rsid w:val="00583482"/>
    <w:rsid w:val="00583A1C"/>
    <w:rsid w:val="00583CA8"/>
    <w:rsid w:val="0058489F"/>
    <w:rsid w:val="0058538D"/>
    <w:rsid w:val="005854AA"/>
    <w:rsid w:val="0058596C"/>
    <w:rsid w:val="00585D2C"/>
    <w:rsid w:val="00585DDC"/>
    <w:rsid w:val="00586035"/>
    <w:rsid w:val="005867CD"/>
    <w:rsid w:val="005869A8"/>
    <w:rsid w:val="00590A18"/>
    <w:rsid w:val="00591206"/>
    <w:rsid w:val="00592D77"/>
    <w:rsid w:val="0059448A"/>
    <w:rsid w:val="00594B87"/>
    <w:rsid w:val="00596A32"/>
    <w:rsid w:val="00597166"/>
    <w:rsid w:val="00597EE3"/>
    <w:rsid w:val="005A0593"/>
    <w:rsid w:val="005A1396"/>
    <w:rsid w:val="005A20B5"/>
    <w:rsid w:val="005A273D"/>
    <w:rsid w:val="005A3FB7"/>
    <w:rsid w:val="005A6220"/>
    <w:rsid w:val="005A6333"/>
    <w:rsid w:val="005A74A6"/>
    <w:rsid w:val="005B09A7"/>
    <w:rsid w:val="005B131C"/>
    <w:rsid w:val="005B2250"/>
    <w:rsid w:val="005B22B1"/>
    <w:rsid w:val="005B3020"/>
    <w:rsid w:val="005B563E"/>
    <w:rsid w:val="005C03F8"/>
    <w:rsid w:val="005C1882"/>
    <w:rsid w:val="005C415F"/>
    <w:rsid w:val="005C4800"/>
    <w:rsid w:val="005C6248"/>
    <w:rsid w:val="005C64AB"/>
    <w:rsid w:val="005C6525"/>
    <w:rsid w:val="005C70D7"/>
    <w:rsid w:val="005C734E"/>
    <w:rsid w:val="005C7D75"/>
    <w:rsid w:val="005D0BBF"/>
    <w:rsid w:val="005D0D76"/>
    <w:rsid w:val="005D1BEE"/>
    <w:rsid w:val="005D52A3"/>
    <w:rsid w:val="005D53E6"/>
    <w:rsid w:val="005D5645"/>
    <w:rsid w:val="005D6720"/>
    <w:rsid w:val="005D6FCF"/>
    <w:rsid w:val="005E0847"/>
    <w:rsid w:val="005E1611"/>
    <w:rsid w:val="005E1C51"/>
    <w:rsid w:val="005E3E81"/>
    <w:rsid w:val="005E4B38"/>
    <w:rsid w:val="005E6039"/>
    <w:rsid w:val="005E6A57"/>
    <w:rsid w:val="005E7209"/>
    <w:rsid w:val="005E734D"/>
    <w:rsid w:val="005E74C7"/>
    <w:rsid w:val="005E7EDA"/>
    <w:rsid w:val="005F04DD"/>
    <w:rsid w:val="005F1794"/>
    <w:rsid w:val="005F1C2A"/>
    <w:rsid w:val="005F34E5"/>
    <w:rsid w:val="005F56B2"/>
    <w:rsid w:val="005F79B4"/>
    <w:rsid w:val="005F7ADF"/>
    <w:rsid w:val="006022D0"/>
    <w:rsid w:val="006026D6"/>
    <w:rsid w:val="00603AAD"/>
    <w:rsid w:val="0060439B"/>
    <w:rsid w:val="00604ED6"/>
    <w:rsid w:val="0060579C"/>
    <w:rsid w:val="00605D61"/>
    <w:rsid w:val="00606DE7"/>
    <w:rsid w:val="0060733C"/>
    <w:rsid w:val="0061015E"/>
    <w:rsid w:val="006105C0"/>
    <w:rsid w:val="006106EE"/>
    <w:rsid w:val="006116AB"/>
    <w:rsid w:val="00611A25"/>
    <w:rsid w:val="00612D05"/>
    <w:rsid w:val="00613480"/>
    <w:rsid w:val="00613869"/>
    <w:rsid w:val="00614489"/>
    <w:rsid w:val="00614D79"/>
    <w:rsid w:val="0061562C"/>
    <w:rsid w:val="0061577B"/>
    <w:rsid w:val="006158D9"/>
    <w:rsid w:val="00615C69"/>
    <w:rsid w:val="006160B6"/>
    <w:rsid w:val="006173AD"/>
    <w:rsid w:val="006223D5"/>
    <w:rsid w:val="00625181"/>
    <w:rsid w:val="00625498"/>
    <w:rsid w:val="006256C4"/>
    <w:rsid w:val="006264AA"/>
    <w:rsid w:val="00626FD4"/>
    <w:rsid w:val="00627502"/>
    <w:rsid w:val="00627858"/>
    <w:rsid w:val="00627CF8"/>
    <w:rsid w:val="006303F8"/>
    <w:rsid w:val="00631182"/>
    <w:rsid w:val="00631BAA"/>
    <w:rsid w:val="00633840"/>
    <w:rsid w:val="00634F7F"/>
    <w:rsid w:val="00634FDE"/>
    <w:rsid w:val="006353DD"/>
    <w:rsid w:val="006403BE"/>
    <w:rsid w:val="0064050F"/>
    <w:rsid w:val="00642069"/>
    <w:rsid w:val="00643353"/>
    <w:rsid w:val="00643B6D"/>
    <w:rsid w:val="00644115"/>
    <w:rsid w:val="00644C6D"/>
    <w:rsid w:val="00646BCA"/>
    <w:rsid w:val="00646E27"/>
    <w:rsid w:val="00646FA7"/>
    <w:rsid w:val="00647A7C"/>
    <w:rsid w:val="0065260E"/>
    <w:rsid w:val="00653B4C"/>
    <w:rsid w:val="00654F44"/>
    <w:rsid w:val="00655370"/>
    <w:rsid w:val="006561F0"/>
    <w:rsid w:val="00656BF4"/>
    <w:rsid w:val="006577D0"/>
    <w:rsid w:val="00660857"/>
    <w:rsid w:val="0066170E"/>
    <w:rsid w:val="0066188E"/>
    <w:rsid w:val="006656C2"/>
    <w:rsid w:val="0066636B"/>
    <w:rsid w:val="0066675A"/>
    <w:rsid w:val="00666BDF"/>
    <w:rsid w:val="00666CB7"/>
    <w:rsid w:val="0067137B"/>
    <w:rsid w:val="006718D9"/>
    <w:rsid w:val="00672DD1"/>
    <w:rsid w:val="00673F3F"/>
    <w:rsid w:val="00676A70"/>
    <w:rsid w:val="00676E73"/>
    <w:rsid w:val="006775F6"/>
    <w:rsid w:val="00680B8B"/>
    <w:rsid w:val="00681B9C"/>
    <w:rsid w:val="00682090"/>
    <w:rsid w:val="00682346"/>
    <w:rsid w:val="00683DB9"/>
    <w:rsid w:val="0068437D"/>
    <w:rsid w:val="00686132"/>
    <w:rsid w:val="006871E6"/>
    <w:rsid w:val="00687B1E"/>
    <w:rsid w:val="0069057B"/>
    <w:rsid w:val="0069072C"/>
    <w:rsid w:val="006925F9"/>
    <w:rsid w:val="00693EA2"/>
    <w:rsid w:val="00694713"/>
    <w:rsid w:val="00694F9C"/>
    <w:rsid w:val="0069582E"/>
    <w:rsid w:val="00695A40"/>
    <w:rsid w:val="00697B54"/>
    <w:rsid w:val="006A056C"/>
    <w:rsid w:val="006A0DAD"/>
    <w:rsid w:val="006A3181"/>
    <w:rsid w:val="006A4015"/>
    <w:rsid w:val="006A4684"/>
    <w:rsid w:val="006A5D6C"/>
    <w:rsid w:val="006B0338"/>
    <w:rsid w:val="006B1907"/>
    <w:rsid w:val="006B1B2E"/>
    <w:rsid w:val="006B1E97"/>
    <w:rsid w:val="006B22D5"/>
    <w:rsid w:val="006B2442"/>
    <w:rsid w:val="006B2986"/>
    <w:rsid w:val="006B5DE5"/>
    <w:rsid w:val="006B7B5C"/>
    <w:rsid w:val="006C0431"/>
    <w:rsid w:val="006C09D0"/>
    <w:rsid w:val="006C2A95"/>
    <w:rsid w:val="006C2DE7"/>
    <w:rsid w:val="006C35DA"/>
    <w:rsid w:val="006C36D8"/>
    <w:rsid w:val="006C429C"/>
    <w:rsid w:val="006C5C50"/>
    <w:rsid w:val="006C6821"/>
    <w:rsid w:val="006C7913"/>
    <w:rsid w:val="006C7958"/>
    <w:rsid w:val="006C7DC5"/>
    <w:rsid w:val="006D1537"/>
    <w:rsid w:val="006D1D9F"/>
    <w:rsid w:val="006D37C8"/>
    <w:rsid w:val="006D3AB1"/>
    <w:rsid w:val="006D3E36"/>
    <w:rsid w:val="006D50E7"/>
    <w:rsid w:val="006D6AEB"/>
    <w:rsid w:val="006D7E07"/>
    <w:rsid w:val="006E030A"/>
    <w:rsid w:val="006E039F"/>
    <w:rsid w:val="006E3BAA"/>
    <w:rsid w:val="006E4006"/>
    <w:rsid w:val="006E4196"/>
    <w:rsid w:val="006E50A6"/>
    <w:rsid w:val="006E5249"/>
    <w:rsid w:val="006E535A"/>
    <w:rsid w:val="006E5412"/>
    <w:rsid w:val="006E64E3"/>
    <w:rsid w:val="006E7261"/>
    <w:rsid w:val="006F1BB7"/>
    <w:rsid w:val="006F21B8"/>
    <w:rsid w:val="006F23CF"/>
    <w:rsid w:val="006F2500"/>
    <w:rsid w:val="006F279F"/>
    <w:rsid w:val="006F37B7"/>
    <w:rsid w:val="006F40A2"/>
    <w:rsid w:val="006F48DC"/>
    <w:rsid w:val="006F7246"/>
    <w:rsid w:val="006F7898"/>
    <w:rsid w:val="006F7AAE"/>
    <w:rsid w:val="0070041A"/>
    <w:rsid w:val="00700D44"/>
    <w:rsid w:val="0070130D"/>
    <w:rsid w:val="007017FA"/>
    <w:rsid w:val="00701E4A"/>
    <w:rsid w:val="00701E4B"/>
    <w:rsid w:val="007021BF"/>
    <w:rsid w:val="00707A7F"/>
    <w:rsid w:val="00712A6F"/>
    <w:rsid w:val="00712A7C"/>
    <w:rsid w:val="00713C2F"/>
    <w:rsid w:val="0071452A"/>
    <w:rsid w:val="007146DE"/>
    <w:rsid w:val="00714BEE"/>
    <w:rsid w:val="00714C0A"/>
    <w:rsid w:val="00715C58"/>
    <w:rsid w:val="0071694E"/>
    <w:rsid w:val="007209DC"/>
    <w:rsid w:val="00720EFC"/>
    <w:rsid w:val="007214BF"/>
    <w:rsid w:val="00722EF0"/>
    <w:rsid w:val="00723075"/>
    <w:rsid w:val="00723337"/>
    <w:rsid w:val="00723343"/>
    <w:rsid w:val="007233C4"/>
    <w:rsid w:val="0072414B"/>
    <w:rsid w:val="007257DD"/>
    <w:rsid w:val="00726489"/>
    <w:rsid w:val="00730D08"/>
    <w:rsid w:val="0073224A"/>
    <w:rsid w:val="007343D6"/>
    <w:rsid w:val="00734695"/>
    <w:rsid w:val="007347FC"/>
    <w:rsid w:val="007348F1"/>
    <w:rsid w:val="00735B22"/>
    <w:rsid w:val="007362E7"/>
    <w:rsid w:val="00736C41"/>
    <w:rsid w:val="00736FE1"/>
    <w:rsid w:val="00737657"/>
    <w:rsid w:val="00740195"/>
    <w:rsid w:val="0074463D"/>
    <w:rsid w:val="00744DA9"/>
    <w:rsid w:val="00745557"/>
    <w:rsid w:val="007459AE"/>
    <w:rsid w:val="00745C7F"/>
    <w:rsid w:val="00746238"/>
    <w:rsid w:val="0074739B"/>
    <w:rsid w:val="00747757"/>
    <w:rsid w:val="007500BC"/>
    <w:rsid w:val="00750551"/>
    <w:rsid w:val="007505D6"/>
    <w:rsid w:val="007520E9"/>
    <w:rsid w:val="00753571"/>
    <w:rsid w:val="00753847"/>
    <w:rsid w:val="00753B6D"/>
    <w:rsid w:val="007541EF"/>
    <w:rsid w:val="007544C8"/>
    <w:rsid w:val="00754B88"/>
    <w:rsid w:val="0075566B"/>
    <w:rsid w:val="00755C40"/>
    <w:rsid w:val="007566A1"/>
    <w:rsid w:val="00756EB4"/>
    <w:rsid w:val="00757851"/>
    <w:rsid w:val="00760DB7"/>
    <w:rsid w:val="00760E33"/>
    <w:rsid w:val="00760E96"/>
    <w:rsid w:val="007622F4"/>
    <w:rsid w:val="007625AA"/>
    <w:rsid w:val="00762617"/>
    <w:rsid w:val="007630C9"/>
    <w:rsid w:val="0076310D"/>
    <w:rsid w:val="0076387A"/>
    <w:rsid w:val="007643B6"/>
    <w:rsid w:val="0076448C"/>
    <w:rsid w:val="007650CD"/>
    <w:rsid w:val="007652BF"/>
    <w:rsid w:val="00765533"/>
    <w:rsid w:val="007659B3"/>
    <w:rsid w:val="0076747C"/>
    <w:rsid w:val="00770156"/>
    <w:rsid w:val="007709FB"/>
    <w:rsid w:val="00770D32"/>
    <w:rsid w:val="00771B77"/>
    <w:rsid w:val="00771C1D"/>
    <w:rsid w:val="007726EF"/>
    <w:rsid w:val="00772B55"/>
    <w:rsid w:val="00774F36"/>
    <w:rsid w:val="0077703E"/>
    <w:rsid w:val="00780065"/>
    <w:rsid w:val="007809B6"/>
    <w:rsid w:val="00781079"/>
    <w:rsid w:val="0078115D"/>
    <w:rsid w:val="007825CB"/>
    <w:rsid w:val="00785B29"/>
    <w:rsid w:val="007860E2"/>
    <w:rsid w:val="00786471"/>
    <w:rsid w:val="00786B50"/>
    <w:rsid w:val="00786DCC"/>
    <w:rsid w:val="00790986"/>
    <w:rsid w:val="00791F2A"/>
    <w:rsid w:val="0079254E"/>
    <w:rsid w:val="0079260F"/>
    <w:rsid w:val="00792ECD"/>
    <w:rsid w:val="00793BA3"/>
    <w:rsid w:val="007968E5"/>
    <w:rsid w:val="00796BB9"/>
    <w:rsid w:val="00796C21"/>
    <w:rsid w:val="00797879"/>
    <w:rsid w:val="007A12DB"/>
    <w:rsid w:val="007A14AE"/>
    <w:rsid w:val="007A231D"/>
    <w:rsid w:val="007A3369"/>
    <w:rsid w:val="007A3FC3"/>
    <w:rsid w:val="007A4A42"/>
    <w:rsid w:val="007A4CD7"/>
    <w:rsid w:val="007A6529"/>
    <w:rsid w:val="007A6FBA"/>
    <w:rsid w:val="007B0582"/>
    <w:rsid w:val="007B06B6"/>
    <w:rsid w:val="007B0FFB"/>
    <w:rsid w:val="007B21FA"/>
    <w:rsid w:val="007B4BCF"/>
    <w:rsid w:val="007B5238"/>
    <w:rsid w:val="007B6117"/>
    <w:rsid w:val="007C179A"/>
    <w:rsid w:val="007C383F"/>
    <w:rsid w:val="007C4405"/>
    <w:rsid w:val="007C456E"/>
    <w:rsid w:val="007C4F62"/>
    <w:rsid w:val="007C50B7"/>
    <w:rsid w:val="007C5263"/>
    <w:rsid w:val="007C5A84"/>
    <w:rsid w:val="007C5C7C"/>
    <w:rsid w:val="007C73D8"/>
    <w:rsid w:val="007D05E6"/>
    <w:rsid w:val="007D293B"/>
    <w:rsid w:val="007D47E5"/>
    <w:rsid w:val="007D765D"/>
    <w:rsid w:val="007D7703"/>
    <w:rsid w:val="007D7C88"/>
    <w:rsid w:val="007D7DC9"/>
    <w:rsid w:val="007E347E"/>
    <w:rsid w:val="007E490B"/>
    <w:rsid w:val="007E4CB4"/>
    <w:rsid w:val="007E4DA8"/>
    <w:rsid w:val="007E544E"/>
    <w:rsid w:val="007E5695"/>
    <w:rsid w:val="007E6159"/>
    <w:rsid w:val="007E6B1B"/>
    <w:rsid w:val="007E6D8E"/>
    <w:rsid w:val="007E6E20"/>
    <w:rsid w:val="007F005A"/>
    <w:rsid w:val="007F050A"/>
    <w:rsid w:val="007F0647"/>
    <w:rsid w:val="007F07A0"/>
    <w:rsid w:val="007F0D3F"/>
    <w:rsid w:val="007F0E2B"/>
    <w:rsid w:val="007F1056"/>
    <w:rsid w:val="007F1952"/>
    <w:rsid w:val="007F2420"/>
    <w:rsid w:val="007F2479"/>
    <w:rsid w:val="007F2501"/>
    <w:rsid w:val="007F3CCB"/>
    <w:rsid w:val="007F5430"/>
    <w:rsid w:val="007F5ED6"/>
    <w:rsid w:val="007F659C"/>
    <w:rsid w:val="007F7646"/>
    <w:rsid w:val="007F7DFB"/>
    <w:rsid w:val="008000F9"/>
    <w:rsid w:val="0080035E"/>
    <w:rsid w:val="008009B0"/>
    <w:rsid w:val="00800B37"/>
    <w:rsid w:val="0080258B"/>
    <w:rsid w:val="008033B9"/>
    <w:rsid w:val="008071E6"/>
    <w:rsid w:val="0080732B"/>
    <w:rsid w:val="0081010F"/>
    <w:rsid w:val="008109D1"/>
    <w:rsid w:val="00811322"/>
    <w:rsid w:val="008113E5"/>
    <w:rsid w:val="008125EC"/>
    <w:rsid w:val="008127F1"/>
    <w:rsid w:val="0081366B"/>
    <w:rsid w:val="0081379D"/>
    <w:rsid w:val="00813806"/>
    <w:rsid w:val="008138F2"/>
    <w:rsid w:val="00816518"/>
    <w:rsid w:val="00816CC3"/>
    <w:rsid w:val="00822297"/>
    <w:rsid w:val="00823034"/>
    <w:rsid w:val="0082311A"/>
    <w:rsid w:val="00823DC2"/>
    <w:rsid w:val="008268F3"/>
    <w:rsid w:val="008271E3"/>
    <w:rsid w:val="00827629"/>
    <w:rsid w:val="00827C88"/>
    <w:rsid w:val="0083144D"/>
    <w:rsid w:val="00831805"/>
    <w:rsid w:val="00831B6B"/>
    <w:rsid w:val="00833129"/>
    <w:rsid w:val="008339F3"/>
    <w:rsid w:val="0083419D"/>
    <w:rsid w:val="00834D9E"/>
    <w:rsid w:val="0083605A"/>
    <w:rsid w:val="00836F0A"/>
    <w:rsid w:val="0083706A"/>
    <w:rsid w:val="00840F32"/>
    <w:rsid w:val="00841D4F"/>
    <w:rsid w:val="0084268F"/>
    <w:rsid w:val="00843773"/>
    <w:rsid w:val="00844465"/>
    <w:rsid w:val="008445C0"/>
    <w:rsid w:val="00844F27"/>
    <w:rsid w:val="00845A96"/>
    <w:rsid w:val="008468E4"/>
    <w:rsid w:val="008472D6"/>
    <w:rsid w:val="00847684"/>
    <w:rsid w:val="00847774"/>
    <w:rsid w:val="0084791A"/>
    <w:rsid w:val="008525C7"/>
    <w:rsid w:val="00852B66"/>
    <w:rsid w:val="008532A1"/>
    <w:rsid w:val="00854466"/>
    <w:rsid w:val="0085528F"/>
    <w:rsid w:val="00855C36"/>
    <w:rsid w:val="00855E96"/>
    <w:rsid w:val="008605F0"/>
    <w:rsid w:val="00862074"/>
    <w:rsid w:val="0086449D"/>
    <w:rsid w:val="008673AF"/>
    <w:rsid w:val="00867948"/>
    <w:rsid w:val="00867CCC"/>
    <w:rsid w:val="00867EC2"/>
    <w:rsid w:val="00870C28"/>
    <w:rsid w:val="008711CC"/>
    <w:rsid w:val="0087127E"/>
    <w:rsid w:val="0087213A"/>
    <w:rsid w:val="00874B1E"/>
    <w:rsid w:val="00874BAD"/>
    <w:rsid w:val="00874E75"/>
    <w:rsid w:val="008752F3"/>
    <w:rsid w:val="00875469"/>
    <w:rsid w:val="00876090"/>
    <w:rsid w:val="00876EE4"/>
    <w:rsid w:val="008802B5"/>
    <w:rsid w:val="00880583"/>
    <w:rsid w:val="00881060"/>
    <w:rsid w:val="0088535F"/>
    <w:rsid w:val="00890FF0"/>
    <w:rsid w:val="00891013"/>
    <w:rsid w:val="00891733"/>
    <w:rsid w:val="00892835"/>
    <w:rsid w:val="00892DF0"/>
    <w:rsid w:val="0089438E"/>
    <w:rsid w:val="00894710"/>
    <w:rsid w:val="008960C8"/>
    <w:rsid w:val="00897CCB"/>
    <w:rsid w:val="008A2CC2"/>
    <w:rsid w:val="008A5777"/>
    <w:rsid w:val="008A5BB4"/>
    <w:rsid w:val="008A7364"/>
    <w:rsid w:val="008A7A40"/>
    <w:rsid w:val="008B1848"/>
    <w:rsid w:val="008B5448"/>
    <w:rsid w:val="008B5B3C"/>
    <w:rsid w:val="008B7079"/>
    <w:rsid w:val="008B79FA"/>
    <w:rsid w:val="008B7A91"/>
    <w:rsid w:val="008C1BEE"/>
    <w:rsid w:val="008C2A77"/>
    <w:rsid w:val="008C2C74"/>
    <w:rsid w:val="008C3D2B"/>
    <w:rsid w:val="008C6180"/>
    <w:rsid w:val="008C6229"/>
    <w:rsid w:val="008C6825"/>
    <w:rsid w:val="008C7BD6"/>
    <w:rsid w:val="008C7CED"/>
    <w:rsid w:val="008C7F88"/>
    <w:rsid w:val="008D1793"/>
    <w:rsid w:val="008D2B8E"/>
    <w:rsid w:val="008D346D"/>
    <w:rsid w:val="008D420E"/>
    <w:rsid w:val="008D4FD6"/>
    <w:rsid w:val="008D63A6"/>
    <w:rsid w:val="008D76AF"/>
    <w:rsid w:val="008E1078"/>
    <w:rsid w:val="008E3414"/>
    <w:rsid w:val="008E3E9F"/>
    <w:rsid w:val="008E3EBC"/>
    <w:rsid w:val="008E589C"/>
    <w:rsid w:val="008E6BE6"/>
    <w:rsid w:val="008E6F28"/>
    <w:rsid w:val="008E7349"/>
    <w:rsid w:val="008E7AD1"/>
    <w:rsid w:val="008E7CA0"/>
    <w:rsid w:val="008E7F12"/>
    <w:rsid w:val="008F0F16"/>
    <w:rsid w:val="008F126D"/>
    <w:rsid w:val="008F4259"/>
    <w:rsid w:val="008F4486"/>
    <w:rsid w:val="008F48C0"/>
    <w:rsid w:val="008F54E4"/>
    <w:rsid w:val="008F5869"/>
    <w:rsid w:val="008F67E4"/>
    <w:rsid w:val="008F6C85"/>
    <w:rsid w:val="008F7937"/>
    <w:rsid w:val="008F7A9C"/>
    <w:rsid w:val="00900B64"/>
    <w:rsid w:val="009016BD"/>
    <w:rsid w:val="00901FE8"/>
    <w:rsid w:val="00903931"/>
    <w:rsid w:val="00904F34"/>
    <w:rsid w:val="0090556A"/>
    <w:rsid w:val="0090641A"/>
    <w:rsid w:val="0090669A"/>
    <w:rsid w:val="00906A1D"/>
    <w:rsid w:val="009072F4"/>
    <w:rsid w:val="00911E9F"/>
    <w:rsid w:val="00912727"/>
    <w:rsid w:val="0091330C"/>
    <w:rsid w:val="00914C82"/>
    <w:rsid w:val="00915C6E"/>
    <w:rsid w:val="009165A5"/>
    <w:rsid w:val="00917262"/>
    <w:rsid w:val="00917C48"/>
    <w:rsid w:val="00917FF2"/>
    <w:rsid w:val="0092096F"/>
    <w:rsid w:val="00920C9E"/>
    <w:rsid w:val="00920E89"/>
    <w:rsid w:val="00921AEA"/>
    <w:rsid w:val="00922147"/>
    <w:rsid w:val="00922E69"/>
    <w:rsid w:val="00924705"/>
    <w:rsid w:val="009249AF"/>
    <w:rsid w:val="009254FF"/>
    <w:rsid w:val="009307C9"/>
    <w:rsid w:val="009319FD"/>
    <w:rsid w:val="00931C19"/>
    <w:rsid w:val="00932218"/>
    <w:rsid w:val="009324D1"/>
    <w:rsid w:val="00933B0D"/>
    <w:rsid w:val="00935019"/>
    <w:rsid w:val="009354B2"/>
    <w:rsid w:val="0093677A"/>
    <w:rsid w:val="00936E82"/>
    <w:rsid w:val="00937EBA"/>
    <w:rsid w:val="00942A53"/>
    <w:rsid w:val="0094342A"/>
    <w:rsid w:val="00943C6A"/>
    <w:rsid w:val="00943D09"/>
    <w:rsid w:val="00944B6B"/>
    <w:rsid w:val="009453CA"/>
    <w:rsid w:val="00946640"/>
    <w:rsid w:val="009466D8"/>
    <w:rsid w:val="009471EA"/>
    <w:rsid w:val="00950D09"/>
    <w:rsid w:val="00951BA1"/>
    <w:rsid w:val="00952173"/>
    <w:rsid w:val="00952CBC"/>
    <w:rsid w:val="00953606"/>
    <w:rsid w:val="00953807"/>
    <w:rsid w:val="00954B36"/>
    <w:rsid w:val="00956A44"/>
    <w:rsid w:val="009622BA"/>
    <w:rsid w:val="009627DA"/>
    <w:rsid w:val="00962F42"/>
    <w:rsid w:val="00963FC1"/>
    <w:rsid w:val="00965C39"/>
    <w:rsid w:val="009669EE"/>
    <w:rsid w:val="00967CA0"/>
    <w:rsid w:val="00970E7E"/>
    <w:rsid w:val="009729AC"/>
    <w:rsid w:val="009753AD"/>
    <w:rsid w:val="00975EC7"/>
    <w:rsid w:val="009764FC"/>
    <w:rsid w:val="00977BE7"/>
    <w:rsid w:val="00980DD5"/>
    <w:rsid w:val="0098305D"/>
    <w:rsid w:val="009833FE"/>
    <w:rsid w:val="009840C2"/>
    <w:rsid w:val="0098563D"/>
    <w:rsid w:val="00986407"/>
    <w:rsid w:val="00986853"/>
    <w:rsid w:val="009873E5"/>
    <w:rsid w:val="0098744D"/>
    <w:rsid w:val="009908E0"/>
    <w:rsid w:val="00990E40"/>
    <w:rsid w:val="00990F9A"/>
    <w:rsid w:val="00991DDB"/>
    <w:rsid w:val="0099320B"/>
    <w:rsid w:val="009975A0"/>
    <w:rsid w:val="00997B8F"/>
    <w:rsid w:val="009A0F50"/>
    <w:rsid w:val="009A232E"/>
    <w:rsid w:val="009A3616"/>
    <w:rsid w:val="009A3729"/>
    <w:rsid w:val="009A3842"/>
    <w:rsid w:val="009A448B"/>
    <w:rsid w:val="009A6F80"/>
    <w:rsid w:val="009A753D"/>
    <w:rsid w:val="009B01C4"/>
    <w:rsid w:val="009B0908"/>
    <w:rsid w:val="009B0C5C"/>
    <w:rsid w:val="009B109B"/>
    <w:rsid w:val="009B42A0"/>
    <w:rsid w:val="009B583F"/>
    <w:rsid w:val="009C02B8"/>
    <w:rsid w:val="009C04AC"/>
    <w:rsid w:val="009C1ACD"/>
    <w:rsid w:val="009C242F"/>
    <w:rsid w:val="009C3666"/>
    <w:rsid w:val="009C69B1"/>
    <w:rsid w:val="009C6EC2"/>
    <w:rsid w:val="009D118A"/>
    <w:rsid w:val="009D14E3"/>
    <w:rsid w:val="009D1CD5"/>
    <w:rsid w:val="009D1DCB"/>
    <w:rsid w:val="009D1E8B"/>
    <w:rsid w:val="009D2385"/>
    <w:rsid w:val="009D25FC"/>
    <w:rsid w:val="009D26F3"/>
    <w:rsid w:val="009D3028"/>
    <w:rsid w:val="009D46C2"/>
    <w:rsid w:val="009D4887"/>
    <w:rsid w:val="009D5D6E"/>
    <w:rsid w:val="009D676B"/>
    <w:rsid w:val="009D6A60"/>
    <w:rsid w:val="009E116D"/>
    <w:rsid w:val="009E1FDF"/>
    <w:rsid w:val="009E28F9"/>
    <w:rsid w:val="009E2EC3"/>
    <w:rsid w:val="009E3093"/>
    <w:rsid w:val="009E38C8"/>
    <w:rsid w:val="009E6B3B"/>
    <w:rsid w:val="009E7676"/>
    <w:rsid w:val="009F1715"/>
    <w:rsid w:val="009F2DC3"/>
    <w:rsid w:val="009F63B2"/>
    <w:rsid w:val="009F719E"/>
    <w:rsid w:val="009F7731"/>
    <w:rsid w:val="009F7DF8"/>
    <w:rsid w:val="00A00BE2"/>
    <w:rsid w:val="00A01171"/>
    <w:rsid w:val="00A01CDA"/>
    <w:rsid w:val="00A02FCD"/>
    <w:rsid w:val="00A051E4"/>
    <w:rsid w:val="00A0721D"/>
    <w:rsid w:val="00A07C1A"/>
    <w:rsid w:val="00A10686"/>
    <w:rsid w:val="00A10D95"/>
    <w:rsid w:val="00A122D6"/>
    <w:rsid w:val="00A16143"/>
    <w:rsid w:val="00A16336"/>
    <w:rsid w:val="00A16816"/>
    <w:rsid w:val="00A1694A"/>
    <w:rsid w:val="00A21115"/>
    <w:rsid w:val="00A21E3A"/>
    <w:rsid w:val="00A22107"/>
    <w:rsid w:val="00A23111"/>
    <w:rsid w:val="00A244E0"/>
    <w:rsid w:val="00A25230"/>
    <w:rsid w:val="00A25309"/>
    <w:rsid w:val="00A277DB"/>
    <w:rsid w:val="00A27E05"/>
    <w:rsid w:val="00A30797"/>
    <w:rsid w:val="00A30FBE"/>
    <w:rsid w:val="00A31A4A"/>
    <w:rsid w:val="00A31A74"/>
    <w:rsid w:val="00A32FA2"/>
    <w:rsid w:val="00A33134"/>
    <w:rsid w:val="00A347E2"/>
    <w:rsid w:val="00A349B4"/>
    <w:rsid w:val="00A35590"/>
    <w:rsid w:val="00A3584D"/>
    <w:rsid w:val="00A35D92"/>
    <w:rsid w:val="00A405A8"/>
    <w:rsid w:val="00A40E9C"/>
    <w:rsid w:val="00A45A4A"/>
    <w:rsid w:val="00A4745E"/>
    <w:rsid w:val="00A47DEF"/>
    <w:rsid w:val="00A47FA1"/>
    <w:rsid w:val="00A50B9B"/>
    <w:rsid w:val="00A51373"/>
    <w:rsid w:val="00A53203"/>
    <w:rsid w:val="00A53482"/>
    <w:rsid w:val="00A534AA"/>
    <w:rsid w:val="00A537CC"/>
    <w:rsid w:val="00A5711F"/>
    <w:rsid w:val="00A6082A"/>
    <w:rsid w:val="00A617E4"/>
    <w:rsid w:val="00A6223B"/>
    <w:rsid w:val="00A643D6"/>
    <w:rsid w:val="00A6551D"/>
    <w:rsid w:val="00A65726"/>
    <w:rsid w:val="00A67B36"/>
    <w:rsid w:val="00A67F12"/>
    <w:rsid w:val="00A703A5"/>
    <w:rsid w:val="00A70658"/>
    <w:rsid w:val="00A71BE2"/>
    <w:rsid w:val="00A72E9B"/>
    <w:rsid w:val="00A73425"/>
    <w:rsid w:val="00A75139"/>
    <w:rsid w:val="00A75E8D"/>
    <w:rsid w:val="00A7627C"/>
    <w:rsid w:val="00A76B46"/>
    <w:rsid w:val="00A774E6"/>
    <w:rsid w:val="00A77816"/>
    <w:rsid w:val="00A81547"/>
    <w:rsid w:val="00A81D52"/>
    <w:rsid w:val="00A8268C"/>
    <w:rsid w:val="00A82BC8"/>
    <w:rsid w:val="00A83513"/>
    <w:rsid w:val="00A84848"/>
    <w:rsid w:val="00A84AA8"/>
    <w:rsid w:val="00A859A6"/>
    <w:rsid w:val="00A85CA3"/>
    <w:rsid w:val="00A85E1D"/>
    <w:rsid w:val="00A863DB"/>
    <w:rsid w:val="00A8680B"/>
    <w:rsid w:val="00A86CEE"/>
    <w:rsid w:val="00A87B11"/>
    <w:rsid w:val="00A93221"/>
    <w:rsid w:val="00A93A0F"/>
    <w:rsid w:val="00A94772"/>
    <w:rsid w:val="00A96994"/>
    <w:rsid w:val="00A9734F"/>
    <w:rsid w:val="00AA09DA"/>
    <w:rsid w:val="00AA0AFC"/>
    <w:rsid w:val="00AA294B"/>
    <w:rsid w:val="00AA39B2"/>
    <w:rsid w:val="00AA4D52"/>
    <w:rsid w:val="00AA760B"/>
    <w:rsid w:val="00AA78A8"/>
    <w:rsid w:val="00AB19B4"/>
    <w:rsid w:val="00AB252C"/>
    <w:rsid w:val="00AB2950"/>
    <w:rsid w:val="00AB33BC"/>
    <w:rsid w:val="00AB3520"/>
    <w:rsid w:val="00AB5535"/>
    <w:rsid w:val="00AB57E5"/>
    <w:rsid w:val="00AB5EDC"/>
    <w:rsid w:val="00AB6B4B"/>
    <w:rsid w:val="00AB6F41"/>
    <w:rsid w:val="00AB6F9A"/>
    <w:rsid w:val="00AC0E17"/>
    <w:rsid w:val="00AC0EE9"/>
    <w:rsid w:val="00AC1260"/>
    <w:rsid w:val="00AC1B0D"/>
    <w:rsid w:val="00AC2143"/>
    <w:rsid w:val="00AC287F"/>
    <w:rsid w:val="00AC2CA6"/>
    <w:rsid w:val="00AC4B17"/>
    <w:rsid w:val="00AC4E93"/>
    <w:rsid w:val="00AC6581"/>
    <w:rsid w:val="00AC68CF"/>
    <w:rsid w:val="00AC6BA0"/>
    <w:rsid w:val="00AC6FDC"/>
    <w:rsid w:val="00AC7B10"/>
    <w:rsid w:val="00AD0AFA"/>
    <w:rsid w:val="00AD0FC3"/>
    <w:rsid w:val="00AD1D5B"/>
    <w:rsid w:val="00AD2AE2"/>
    <w:rsid w:val="00AD43D6"/>
    <w:rsid w:val="00AD710A"/>
    <w:rsid w:val="00AE0595"/>
    <w:rsid w:val="00AE1361"/>
    <w:rsid w:val="00AE2C68"/>
    <w:rsid w:val="00AE2F20"/>
    <w:rsid w:val="00AE4465"/>
    <w:rsid w:val="00AE53BE"/>
    <w:rsid w:val="00AE7155"/>
    <w:rsid w:val="00AF1078"/>
    <w:rsid w:val="00AF20EA"/>
    <w:rsid w:val="00AF2D2E"/>
    <w:rsid w:val="00AF3800"/>
    <w:rsid w:val="00AF4CEA"/>
    <w:rsid w:val="00AF67D7"/>
    <w:rsid w:val="00AF7E87"/>
    <w:rsid w:val="00B005A3"/>
    <w:rsid w:val="00B01B97"/>
    <w:rsid w:val="00B0207A"/>
    <w:rsid w:val="00B02B9E"/>
    <w:rsid w:val="00B0383D"/>
    <w:rsid w:val="00B03931"/>
    <w:rsid w:val="00B04BAF"/>
    <w:rsid w:val="00B04D1D"/>
    <w:rsid w:val="00B05F88"/>
    <w:rsid w:val="00B062A6"/>
    <w:rsid w:val="00B07AF2"/>
    <w:rsid w:val="00B10F5F"/>
    <w:rsid w:val="00B12972"/>
    <w:rsid w:val="00B138BD"/>
    <w:rsid w:val="00B13E8C"/>
    <w:rsid w:val="00B14C6B"/>
    <w:rsid w:val="00B15EF3"/>
    <w:rsid w:val="00B17A2C"/>
    <w:rsid w:val="00B17FF6"/>
    <w:rsid w:val="00B21619"/>
    <w:rsid w:val="00B216B7"/>
    <w:rsid w:val="00B22699"/>
    <w:rsid w:val="00B2353F"/>
    <w:rsid w:val="00B23770"/>
    <w:rsid w:val="00B25002"/>
    <w:rsid w:val="00B26F0B"/>
    <w:rsid w:val="00B27813"/>
    <w:rsid w:val="00B27B3F"/>
    <w:rsid w:val="00B27C9C"/>
    <w:rsid w:val="00B30B80"/>
    <w:rsid w:val="00B30C0F"/>
    <w:rsid w:val="00B30FDD"/>
    <w:rsid w:val="00B31B2A"/>
    <w:rsid w:val="00B32406"/>
    <w:rsid w:val="00B332DC"/>
    <w:rsid w:val="00B33AA3"/>
    <w:rsid w:val="00B3665B"/>
    <w:rsid w:val="00B37D28"/>
    <w:rsid w:val="00B41263"/>
    <w:rsid w:val="00B41286"/>
    <w:rsid w:val="00B41F8B"/>
    <w:rsid w:val="00B42943"/>
    <w:rsid w:val="00B430E2"/>
    <w:rsid w:val="00B43EF5"/>
    <w:rsid w:val="00B4460D"/>
    <w:rsid w:val="00B44906"/>
    <w:rsid w:val="00B45B3D"/>
    <w:rsid w:val="00B478E1"/>
    <w:rsid w:val="00B50E67"/>
    <w:rsid w:val="00B51AA3"/>
    <w:rsid w:val="00B52192"/>
    <w:rsid w:val="00B5244E"/>
    <w:rsid w:val="00B52FFF"/>
    <w:rsid w:val="00B535FC"/>
    <w:rsid w:val="00B5445D"/>
    <w:rsid w:val="00B54AAC"/>
    <w:rsid w:val="00B56352"/>
    <w:rsid w:val="00B56F69"/>
    <w:rsid w:val="00B57024"/>
    <w:rsid w:val="00B57A23"/>
    <w:rsid w:val="00B60F03"/>
    <w:rsid w:val="00B619DC"/>
    <w:rsid w:val="00B61DA5"/>
    <w:rsid w:val="00B621C7"/>
    <w:rsid w:val="00B622B9"/>
    <w:rsid w:val="00B63322"/>
    <w:rsid w:val="00B63B8D"/>
    <w:rsid w:val="00B63FCF"/>
    <w:rsid w:val="00B64162"/>
    <w:rsid w:val="00B64A17"/>
    <w:rsid w:val="00B64B50"/>
    <w:rsid w:val="00B66CED"/>
    <w:rsid w:val="00B6782D"/>
    <w:rsid w:val="00B70408"/>
    <w:rsid w:val="00B71BA5"/>
    <w:rsid w:val="00B72FEE"/>
    <w:rsid w:val="00B7301E"/>
    <w:rsid w:val="00B748CA"/>
    <w:rsid w:val="00B74935"/>
    <w:rsid w:val="00B754A0"/>
    <w:rsid w:val="00B75562"/>
    <w:rsid w:val="00B7721A"/>
    <w:rsid w:val="00B77C39"/>
    <w:rsid w:val="00B80EBE"/>
    <w:rsid w:val="00B8132C"/>
    <w:rsid w:val="00B81F5F"/>
    <w:rsid w:val="00B82241"/>
    <w:rsid w:val="00B82B82"/>
    <w:rsid w:val="00B83976"/>
    <w:rsid w:val="00B8421A"/>
    <w:rsid w:val="00B84228"/>
    <w:rsid w:val="00B847CB"/>
    <w:rsid w:val="00B85CD0"/>
    <w:rsid w:val="00B85D13"/>
    <w:rsid w:val="00B867D7"/>
    <w:rsid w:val="00B87ACB"/>
    <w:rsid w:val="00B87B2B"/>
    <w:rsid w:val="00B9151E"/>
    <w:rsid w:val="00B915AA"/>
    <w:rsid w:val="00B92015"/>
    <w:rsid w:val="00B92604"/>
    <w:rsid w:val="00B938DC"/>
    <w:rsid w:val="00B9438B"/>
    <w:rsid w:val="00B94B2C"/>
    <w:rsid w:val="00B94D8E"/>
    <w:rsid w:val="00B95878"/>
    <w:rsid w:val="00B9595F"/>
    <w:rsid w:val="00B96CBD"/>
    <w:rsid w:val="00BA09D5"/>
    <w:rsid w:val="00BA1028"/>
    <w:rsid w:val="00BA1115"/>
    <w:rsid w:val="00BA114A"/>
    <w:rsid w:val="00BA1D85"/>
    <w:rsid w:val="00BA209D"/>
    <w:rsid w:val="00BA2911"/>
    <w:rsid w:val="00BA4F44"/>
    <w:rsid w:val="00BA524D"/>
    <w:rsid w:val="00BA5E69"/>
    <w:rsid w:val="00BA6791"/>
    <w:rsid w:val="00BB0AC3"/>
    <w:rsid w:val="00BB0B81"/>
    <w:rsid w:val="00BB1215"/>
    <w:rsid w:val="00BB2F1B"/>
    <w:rsid w:val="00BB3E2F"/>
    <w:rsid w:val="00BB47E5"/>
    <w:rsid w:val="00BB50C2"/>
    <w:rsid w:val="00BB6AEB"/>
    <w:rsid w:val="00BC33DF"/>
    <w:rsid w:val="00BC4018"/>
    <w:rsid w:val="00BC43B4"/>
    <w:rsid w:val="00BC43DA"/>
    <w:rsid w:val="00BC4960"/>
    <w:rsid w:val="00BC5974"/>
    <w:rsid w:val="00BD16F3"/>
    <w:rsid w:val="00BD2C85"/>
    <w:rsid w:val="00BD636A"/>
    <w:rsid w:val="00BD6AA2"/>
    <w:rsid w:val="00BD6AA8"/>
    <w:rsid w:val="00BD75CF"/>
    <w:rsid w:val="00BD7BDF"/>
    <w:rsid w:val="00BD7E0E"/>
    <w:rsid w:val="00BE140A"/>
    <w:rsid w:val="00BE1EE6"/>
    <w:rsid w:val="00BE2014"/>
    <w:rsid w:val="00BE26EE"/>
    <w:rsid w:val="00BE2820"/>
    <w:rsid w:val="00BE3C6C"/>
    <w:rsid w:val="00BE51C6"/>
    <w:rsid w:val="00BE5F9D"/>
    <w:rsid w:val="00BE6853"/>
    <w:rsid w:val="00BE6BB4"/>
    <w:rsid w:val="00BE6D0B"/>
    <w:rsid w:val="00BE6D77"/>
    <w:rsid w:val="00BE7417"/>
    <w:rsid w:val="00BF1000"/>
    <w:rsid w:val="00BF1FFA"/>
    <w:rsid w:val="00BF2F42"/>
    <w:rsid w:val="00BF34FC"/>
    <w:rsid w:val="00BF3F02"/>
    <w:rsid w:val="00BF55F4"/>
    <w:rsid w:val="00BF5A72"/>
    <w:rsid w:val="00BF5F0F"/>
    <w:rsid w:val="00C00F92"/>
    <w:rsid w:val="00C01137"/>
    <w:rsid w:val="00C01597"/>
    <w:rsid w:val="00C03974"/>
    <w:rsid w:val="00C04468"/>
    <w:rsid w:val="00C05CEF"/>
    <w:rsid w:val="00C0715C"/>
    <w:rsid w:val="00C07D17"/>
    <w:rsid w:val="00C1172A"/>
    <w:rsid w:val="00C11C06"/>
    <w:rsid w:val="00C12491"/>
    <w:rsid w:val="00C14DBC"/>
    <w:rsid w:val="00C15420"/>
    <w:rsid w:val="00C1543A"/>
    <w:rsid w:val="00C15AC7"/>
    <w:rsid w:val="00C16584"/>
    <w:rsid w:val="00C16969"/>
    <w:rsid w:val="00C169E4"/>
    <w:rsid w:val="00C16D39"/>
    <w:rsid w:val="00C20E5D"/>
    <w:rsid w:val="00C2205A"/>
    <w:rsid w:val="00C225B3"/>
    <w:rsid w:val="00C22F6C"/>
    <w:rsid w:val="00C23035"/>
    <w:rsid w:val="00C23577"/>
    <w:rsid w:val="00C2366A"/>
    <w:rsid w:val="00C241AA"/>
    <w:rsid w:val="00C26370"/>
    <w:rsid w:val="00C26C77"/>
    <w:rsid w:val="00C273E5"/>
    <w:rsid w:val="00C30CF3"/>
    <w:rsid w:val="00C328E0"/>
    <w:rsid w:val="00C33330"/>
    <w:rsid w:val="00C338CF"/>
    <w:rsid w:val="00C340AB"/>
    <w:rsid w:val="00C34A12"/>
    <w:rsid w:val="00C3586F"/>
    <w:rsid w:val="00C3590F"/>
    <w:rsid w:val="00C36090"/>
    <w:rsid w:val="00C3714D"/>
    <w:rsid w:val="00C379DC"/>
    <w:rsid w:val="00C4051A"/>
    <w:rsid w:val="00C40C54"/>
    <w:rsid w:val="00C412E3"/>
    <w:rsid w:val="00C417EF"/>
    <w:rsid w:val="00C4199D"/>
    <w:rsid w:val="00C44FE4"/>
    <w:rsid w:val="00C453A5"/>
    <w:rsid w:val="00C457E6"/>
    <w:rsid w:val="00C45FA2"/>
    <w:rsid w:val="00C4771D"/>
    <w:rsid w:val="00C501CF"/>
    <w:rsid w:val="00C51290"/>
    <w:rsid w:val="00C51ED3"/>
    <w:rsid w:val="00C54138"/>
    <w:rsid w:val="00C548EA"/>
    <w:rsid w:val="00C558E0"/>
    <w:rsid w:val="00C55C86"/>
    <w:rsid w:val="00C567D4"/>
    <w:rsid w:val="00C56D62"/>
    <w:rsid w:val="00C56E8C"/>
    <w:rsid w:val="00C57623"/>
    <w:rsid w:val="00C600EA"/>
    <w:rsid w:val="00C61DAD"/>
    <w:rsid w:val="00C6299E"/>
    <w:rsid w:val="00C631E8"/>
    <w:rsid w:val="00C648EA"/>
    <w:rsid w:val="00C65BAA"/>
    <w:rsid w:val="00C66EB4"/>
    <w:rsid w:val="00C707EE"/>
    <w:rsid w:val="00C720A4"/>
    <w:rsid w:val="00C74318"/>
    <w:rsid w:val="00C7440B"/>
    <w:rsid w:val="00C7444E"/>
    <w:rsid w:val="00C748A9"/>
    <w:rsid w:val="00C74940"/>
    <w:rsid w:val="00C74D64"/>
    <w:rsid w:val="00C77EF5"/>
    <w:rsid w:val="00C82258"/>
    <w:rsid w:val="00C83A19"/>
    <w:rsid w:val="00C84C29"/>
    <w:rsid w:val="00C84F35"/>
    <w:rsid w:val="00C8550B"/>
    <w:rsid w:val="00C86335"/>
    <w:rsid w:val="00C8713E"/>
    <w:rsid w:val="00C871E7"/>
    <w:rsid w:val="00C879FC"/>
    <w:rsid w:val="00C87E87"/>
    <w:rsid w:val="00C91A9E"/>
    <w:rsid w:val="00C92294"/>
    <w:rsid w:val="00C93911"/>
    <w:rsid w:val="00C96B7F"/>
    <w:rsid w:val="00C97EEA"/>
    <w:rsid w:val="00CA0A9C"/>
    <w:rsid w:val="00CA0C11"/>
    <w:rsid w:val="00CA222B"/>
    <w:rsid w:val="00CA35D4"/>
    <w:rsid w:val="00CA3748"/>
    <w:rsid w:val="00CA3992"/>
    <w:rsid w:val="00CA502D"/>
    <w:rsid w:val="00CA644D"/>
    <w:rsid w:val="00CA72FF"/>
    <w:rsid w:val="00CA7A94"/>
    <w:rsid w:val="00CB0EF4"/>
    <w:rsid w:val="00CB15B1"/>
    <w:rsid w:val="00CB1733"/>
    <w:rsid w:val="00CB1D39"/>
    <w:rsid w:val="00CB351D"/>
    <w:rsid w:val="00CB41DD"/>
    <w:rsid w:val="00CB5CFA"/>
    <w:rsid w:val="00CB6971"/>
    <w:rsid w:val="00CB69B1"/>
    <w:rsid w:val="00CB6E76"/>
    <w:rsid w:val="00CB71C7"/>
    <w:rsid w:val="00CC0DDC"/>
    <w:rsid w:val="00CC1856"/>
    <w:rsid w:val="00CC258F"/>
    <w:rsid w:val="00CC45AC"/>
    <w:rsid w:val="00CC4AE6"/>
    <w:rsid w:val="00CC50CF"/>
    <w:rsid w:val="00CC716A"/>
    <w:rsid w:val="00CC7F75"/>
    <w:rsid w:val="00CC7F7B"/>
    <w:rsid w:val="00CD0E7A"/>
    <w:rsid w:val="00CD0F1B"/>
    <w:rsid w:val="00CD164D"/>
    <w:rsid w:val="00CD3B7E"/>
    <w:rsid w:val="00CD42F2"/>
    <w:rsid w:val="00CD5093"/>
    <w:rsid w:val="00CD5414"/>
    <w:rsid w:val="00CD6009"/>
    <w:rsid w:val="00CD7A21"/>
    <w:rsid w:val="00CD7AE9"/>
    <w:rsid w:val="00CD7CC0"/>
    <w:rsid w:val="00CE0D02"/>
    <w:rsid w:val="00CE13EA"/>
    <w:rsid w:val="00CE3536"/>
    <w:rsid w:val="00CE4723"/>
    <w:rsid w:val="00CE67BD"/>
    <w:rsid w:val="00CF08CF"/>
    <w:rsid w:val="00CF1894"/>
    <w:rsid w:val="00CF57B4"/>
    <w:rsid w:val="00CF7CC9"/>
    <w:rsid w:val="00D00BA1"/>
    <w:rsid w:val="00D00C90"/>
    <w:rsid w:val="00D0183E"/>
    <w:rsid w:val="00D01EC4"/>
    <w:rsid w:val="00D02DE4"/>
    <w:rsid w:val="00D04AFC"/>
    <w:rsid w:val="00D04B6A"/>
    <w:rsid w:val="00D056D4"/>
    <w:rsid w:val="00D06C05"/>
    <w:rsid w:val="00D10ABD"/>
    <w:rsid w:val="00D112B4"/>
    <w:rsid w:val="00D135C9"/>
    <w:rsid w:val="00D14CCC"/>
    <w:rsid w:val="00D16D86"/>
    <w:rsid w:val="00D20A96"/>
    <w:rsid w:val="00D20AEF"/>
    <w:rsid w:val="00D20BC8"/>
    <w:rsid w:val="00D219A3"/>
    <w:rsid w:val="00D2272B"/>
    <w:rsid w:val="00D24C3E"/>
    <w:rsid w:val="00D268B2"/>
    <w:rsid w:val="00D26FA5"/>
    <w:rsid w:val="00D27D53"/>
    <w:rsid w:val="00D302FC"/>
    <w:rsid w:val="00D30B4A"/>
    <w:rsid w:val="00D317B8"/>
    <w:rsid w:val="00D32A0A"/>
    <w:rsid w:val="00D35225"/>
    <w:rsid w:val="00D356D6"/>
    <w:rsid w:val="00D3587B"/>
    <w:rsid w:val="00D35E1F"/>
    <w:rsid w:val="00D36879"/>
    <w:rsid w:val="00D368CD"/>
    <w:rsid w:val="00D37D30"/>
    <w:rsid w:val="00D4020A"/>
    <w:rsid w:val="00D43EB7"/>
    <w:rsid w:val="00D450CF"/>
    <w:rsid w:val="00D45958"/>
    <w:rsid w:val="00D45D13"/>
    <w:rsid w:val="00D45F31"/>
    <w:rsid w:val="00D46C69"/>
    <w:rsid w:val="00D47867"/>
    <w:rsid w:val="00D50AD3"/>
    <w:rsid w:val="00D51FDB"/>
    <w:rsid w:val="00D5310C"/>
    <w:rsid w:val="00D538FC"/>
    <w:rsid w:val="00D551A7"/>
    <w:rsid w:val="00D56573"/>
    <w:rsid w:val="00D574BA"/>
    <w:rsid w:val="00D603A3"/>
    <w:rsid w:val="00D60CAD"/>
    <w:rsid w:val="00D61613"/>
    <w:rsid w:val="00D63F23"/>
    <w:rsid w:val="00D640F9"/>
    <w:rsid w:val="00D650CB"/>
    <w:rsid w:val="00D66BD1"/>
    <w:rsid w:val="00D70962"/>
    <w:rsid w:val="00D72CD3"/>
    <w:rsid w:val="00D75127"/>
    <w:rsid w:val="00D7538C"/>
    <w:rsid w:val="00D759C6"/>
    <w:rsid w:val="00D75BE2"/>
    <w:rsid w:val="00D766B2"/>
    <w:rsid w:val="00D77311"/>
    <w:rsid w:val="00D80A2B"/>
    <w:rsid w:val="00D81DFF"/>
    <w:rsid w:val="00D82D4A"/>
    <w:rsid w:val="00D830D4"/>
    <w:rsid w:val="00D833BB"/>
    <w:rsid w:val="00D83DD0"/>
    <w:rsid w:val="00D86453"/>
    <w:rsid w:val="00D86982"/>
    <w:rsid w:val="00D86BC2"/>
    <w:rsid w:val="00D87555"/>
    <w:rsid w:val="00D87D71"/>
    <w:rsid w:val="00D912A3"/>
    <w:rsid w:val="00D918A3"/>
    <w:rsid w:val="00D91C04"/>
    <w:rsid w:val="00D92A1F"/>
    <w:rsid w:val="00D938CE"/>
    <w:rsid w:val="00D943B4"/>
    <w:rsid w:val="00D94506"/>
    <w:rsid w:val="00D94ECC"/>
    <w:rsid w:val="00D9520E"/>
    <w:rsid w:val="00D95E29"/>
    <w:rsid w:val="00D973AD"/>
    <w:rsid w:val="00D973C4"/>
    <w:rsid w:val="00D9775A"/>
    <w:rsid w:val="00DA01E4"/>
    <w:rsid w:val="00DA1040"/>
    <w:rsid w:val="00DA2166"/>
    <w:rsid w:val="00DA4539"/>
    <w:rsid w:val="00DA6921"/>
    <w:rsid w:val="00DA7295"/>
    <w:rsid w:val="00DA766A"/>
    <w:rsid w:val="00DA771A"/>
    <w:rsid w:val="00DB0854"/>
    <w:rsid w:val="00DB097D"/>
    <w:rsid w:val="00DB170C"/>
    <w:rsid w:val="00DB2977"/>
    <w:rsid w:val="00DB395D"/>
    <w:rsid w:val="00DB4A44"/>
    <w:rsid w:val="00DB579C"/>
    <w:rsid w:val="00DB6090"/>
    <w:rsid w:val="00DB6633"/>
    <w:rsid w:val="00DB78FE"/>
    <w:rsid w:val="00DC0504"/>
    <w:rsid w:val="00DC091F"/>
    <w:rsid w:val="00DC0CE8"/>
    <w:rsid w:val="00DC2D35"/>
    <w:rsid w:val="00DC31B1"/>
    <w:rsid w:val="00DC3318"/>
    <w:rsid w:val="00DC7D52"/>
    <w:rsid w:val="00DC7EF9"/>
    <w:rsid w:val="00DD0182"/>
    <w:rsid w:val="00DD168B"/>
    <w:rsid w:val="00DD3F9E"/>
    <w:rsid w:val="00DD4C37"/>
    <w:rsid w:val="00DD5B7E"/>
    <w:rsid w:val="00DD5F4A"/>
    <w:rsid w:val="00DD6C8F"/>
    <w:rsid w:val="00DD768E"/>
    <w:rsid w:val="00DD786C"/>
    <w:rsid w:val="00DE122A"/>
    <w:rsid w:val="00DE24AA"/>
    <w:rsid w:val="00DE36C4"/>
    <w:rsid w:val="00DE7B95"/>
    <w:rsid w:val="00DF0040"/>
    <w:rsid w:val="00DF035C"/>
    <w:rsid w:val="00DF07E7"/>
    <w:rsid w:val="00DF0BDE"/>
    <w:rsid w:val="00DF2000"/>
    <w:rsid w:val="00DF3828"/>
    <w:rsid w:val="00DF60BB"/>
    <w:rsid w:val="00DF730E"/>
    <w:rsid w:val="00DF77A4"/>
    <w:rsid w:val="00E029D0"/>
    <w:rsid w:val="00E03D65"/>
    <w:rsid w:val="00E03ED1"/>
    <w:rsid w:val="00E04617"/>
    <w:rsid w:val="00E06702"/>
    <w:rsid w:val="00E068C2"/>
    <w:rsid w:val="00E06F83"/>
    <w:rsid w:val="00E07261"/>
    <w:rsid w:val="00E07B57"/>
    <w:rsid w:val="00E07D7B"/>
    <w:rsid w:val="00E07D98"/>
    <w:rsid w:val="00E1209A"/>
    <w:rsid w:val="00E12A09"/>
    <w:rsid w:val="00E1426E"/>
    <w:rsid w:val="00E14F0B"/>
    <w:rsid w:val="00E16E07"/>
    <w:rsid w:val="00E17569"/>
    <w:rsid w:val="00E17F3F"/>
    <w:rsid w:val="00E2058A"/>
    <w:rsid w:val="00E21E80"/>
    <w:rsid w:val="00E225D5"/>
    <w:rsid w:val="00E23338"/>
    <w:rsid w:val="00E234DF"/>
    <w:rsid w:val="00E242F6"/>
    <w:rsid w:val="00E24842"/>
    <w:rsid w:val="00E25674"/>
    <w:rsid w:val="00E27754"/>
    <w:rsid w:val="00E27FDF"/>
    <w:rsid w:val="00E318CE"/>
    <w:rsid w:val="00E31FF0"/>
    <w:rsid w:val="00E332BF"/>
    <w:rsid w:val="00E345E0"/>
    <w:rsid w:val="00E34A5F"/>
    <w:rsid w:val="00E34B36"/>
    <w:rsid w:val="00E34C33"/>
    <w:rsid w:val="00E35BBF"/>
    <w:rsid w:val="00E35E9A"/>
    <w:rsid w:val="00E37622"/>
    <w:rsid w:val="00E403C2"/>
    <w:rsid w:val="00E41D70"/>
    <w:rsid w:val="00E43322"/>
    <w:rsid w:val="00E43AB5"/>
    <w:rsid w:val="00E43FE3"/>
    <w:rsid w:val="00E45D03"/>
    <w:rsid w:val="00E46376"/>
    <w:rsid w:val="00E479B9"/>
    <w:rsid w:val="00E50992"/>
    <w:rsid w:val="00E5113A"/>
    <w:rsid w:val="00E516AA"/>
    <w:rsid w:val="00E5200D"/>
    <w:rsid w:val="00E52C47"/>
    <w:rsid w:val="00E54858"/>
    <w:rsid w:val="00E54B22"/>
    <w:rsid w:val="00E54E34"/>
    <w:rsid w:val="00E5572B"/>
    <w:rsid w:val="00E5698B"/>
    <w:rsid w:val="00E602E0"/>
    <w:rsid w:val="00E60AED"/>
    <w:rsid w:val="00E6214A"/>
    <w:rsid w:val="00E6287F"/>
    <w:rsid w:val="00E6471E"/>
    <w:rsid w:val="00E6540F"/>
    <w:rsid w:val="00E65926"/>
    <w:rsid w:val="00E65960"/>
    <w:rsid w:val="00E67062"/>
    <w:rsid w:val="00E67F61"/>
    <w:rsid w:val="00E7006C"/>
    <w:rsid w:val="00E7018C"/>
    <w:rsid w:val="00E72499"/>
    <w:rsid w:val="00E72C3A"/>
    <w:rsid w:val="00E73443"/>
    <w:rsid w:val="00E737D5"/>
    <w:rsid w:val="00E74D26"/>
    <w:rsid w:val="00E75F0F"/>
    <w:rsid w:val="00E76621"/>
    <w:rsid w:val="00E77019"/>
    <w:rsid w:val="00E773D8"/>
    <w:rsid w:val="00E80EF9"/>
    <w:rsid w:val="00E8141D"/>
    <w:rsid w:val="00E8169C"/>
    <w:rsid w:val="00E81FE0"/>
    <w:rsid w:val="00E82C4E"/>
    <w:rsid w:val="00E835D6"/>
    <w:rsid w:val="00E85285"/>
    <w:rsid w:val="00E87D87"/>
    <w:rsid w:val="00E9024D"/>
    <w:rsid w:val="00E90711"/>
    <w:rsid w:val="00E9131A"/>
    <w:rsid w:val="00E91399"/>
    <w:rsid w:val="00E918CF"/>
    <w:rsid w:val="00E91E6B"/>
    <w:rsid w:val="00E9260A"/>
    <w:rsid w:val="00E933E5"/>
    <w:rsid w:val="00E939B3"/>
    <w:rsid w:val="00E93B6A"/>
    <w:rsid w:val="00E943AC"/>
    <w:rsid w:val="00E96AE4"/>
    <w:rsid w:val="00EA014A"/>
    <w:rsid w:val="00EA1974"/>
    <w:rsid w:val="00EA2C58"/>
    <w:rsid w:val="00EA40E2"/>
    <w:rsid w:val="00EA43C5"/>
    <w:rsid w:val="00EA4B96"/>
    <w:rsid w:val="00EA60E5"/>
    <w:rsid w:val="00EA6348"/>
    <w:rsid w:val="00EA7261"/>
    <w:rsid w:val="00EA76AE"/>
    <w:rsid w:val="00EA782E"/>
    <w:rsid w:val="00EB0D21"/>
    <w:rsid w:val="00EB115B"/>
    <w:rsid w:val="00EB3F54"/>
    <w:rsid w:val="00EB4137"/>
    <w:rsid w:val="00EB47D0"/>
    <w:rsid w:val="00EB58CA"/>
    <w:rsid w:val="00EB6C53"/>
    <w:rsid w:val="00EB7707"/>
    <w:rsid w:val="00EC0D2D"/>
    <w:rsid w:val="00EC0E50"/>
    <w:rsid w:val="00EC111C"/>
    <w:rsid w:val="00EC1478"/>
    <w:rsid w:val="00EC1BC8"/>
    <w:rsid w:val="00EC2BB3"/>
    <w:rsid w:val="00EC3F01"/>
    <w:rsid w:val="00EC4D4B"/>
    <w:rsid w:val="00EC6098"/>
    <w:rsid w:val="00EC646B"/>
    <w:rsid w:val="00EC64F5"/>
    <w:rsid w:val="00EC7177"/>
    <w:rsid w:val="00ED1AC4"/>
    <w:rsid w:val="00ED2333"/>
    <w:rsid w:val="00ED2ABB"/>
    <w:rsid w:val="00ED38C4"/>
    <w:rsid w:val="00ED5451"/>
    <w:rsid w:val="00ED766D"/>
    <w:rsid w:val="00EE11AB"/>
    <w:rsid w:val="00EE18F8"/>
    <w:rsid w:val="00EE257B"/>
    <w:rsid w:val="00EE3702"/>
    <w:rsid w:val="00EE3733"/>
    <w:rsid w:val="00EE3B94"/>
    <w:rsid w:val="00EE3BA4"/>
    <w:rsid w:val="00EE474F"/>
    <w:rsid w:val="00EE56C7"/>
    <w:rsid w:val="00EE6CCC"/>
    <w:rsid w:val="00EE755E"/>
    <w:rsid w:val="00EE7A27"/>
    <w:rsid w:val="00EE7CD2"/>
    <w:rsid w:val="00EE7CF0"/>
    <w:rsid w:val="00EF0C2B"/>
    <w:rsid w:val="00EF1909"/>
    <w:rsid w:val="00EF25B5"/>
    <w:rsid w:val="00EF3982"/>
    <w:rsid w:val="00EF473C"/>
    <w:rsid w:val="00EF4832"/>
    <w:rsid w:val="00EF6F1B"/>
    <w:rsid w:val="00EF7675"/>
    <w:rsid w:val="00F005E4"/>
    <w:rsid w:val="00F00F2E"/>
    <w:rsid w:val="00F01719"/>
    <w:rsid w:val="00F01C6A"/>
    <w:rsid w:val="00F03DDF"/>
    <w:rsid w:val="00F0764C"/>
    <w:rsid w:val="00F07A22"/>
    <w:rsid w:val="00F07DA5"/>
    <w:rsid w:val="00F11A9D"/>
    <w:rsid w:val="00F11BC5"/>
    <w:rsid w:val="00F13084"/>
    <w:rsid w:val="00F13868"/>
    <w:rsid w:val="00F1417D"/>
    <w:rsid w:val="00F143EA"/>
    <w:rsid w:val="00F148B1"/>
    <w:rsid w:val="00F14A55"/>
    <w:rsid w:val="00F15829"/>
    <w:rsid w:val="00F15CCC"/>
    <w:rsid w:val="00F15CF0"/>
    <w:rsid w:val="00F16310"/>
    <w:rsid w:val="00F166FA"/>
    <w:rsid w:val="00F16D7F"/>
    <w:rsid w:val="00F20058"/>
    <w:rsid w:val="00F203FB"/>
    <w:rsid w:val="00F208DE"/>
    <w:rsid w:val="00F24669"/>
    <w:rsid w:val="00F247A6"/>
    <w:rsid w:val="00F24F05"/>
    <w:rsid w:val="00F254F4"/>
    <w:rsid w:val="00F25649"/>
    <w:rsid w:val="00F25DC4"/>
    <w:rsid w:val="00F2603C"/>
    <w:rsid w:val="00F26B84"/>
    <w:rsid w:val="00F30DFA"/>
    <w:rsid w:val="00F31769"/>
    <w:rsid w:val="00F32424"/>
    <w:rsid w:val="00F33B32"/>
    <w:rsid w:val="00F33E15"/>
    <w:rsid w:val="00F34DF1"/>
    <w:rsid w:val="00F350CC"/>
    <w:rsid w:val="00F3648E"/>
    <w:rsid w:val="00F37252"/>
    <w:rsid w:val="00F37826"/>
    <w:rsid w:val="00F37D80"/>
    <w:rsid w:val="00F42379"/>
    <w:rsid w:val="00F42A27"/>
    <w:rsid w:val="00F42F62"/>
    <w:rsid w:val="00F43314"/>
    <w:rsid w:val="00F43F08"/>
    <w:rsid w:val="00F46415"/>
    <w:rsid w:val="00F46FE9"/>
    <w:rsid w:val="00F47185"/>
    <w:rsid w:val="00F5079B"/>
    <w:rsid w:val="00F5175A"/>
    <w:rsid w:val="00F53C0F"/>
    <w:rsid w:val="00F53E7E"/>
    <w:rsid w:val="00F558DC"/>
    <w:rsid w:val="00F56FCB"/>
    <w:rsid w:val="00F60307"/>
    <w:rsid w:val="00F62238"/>
    <w:rsid w:val="00F625C9"/>
    <w:rsid w:val="00F6410F"/>
    <w:rsid w:val="00F6555B"/>
    <w:rsid w:val="00F663C5"/>
    <w:rsid w:val="00F66465"/>
    <w:rsid w:val="00F6658E"/>
    <w:rsid w:val="00F67CD0"/>
    <w:rsid w:val="00F707B9"/>
    <w:rsid w:val="00F70A1F"/>
    <w:rsid w:val="00F718F8"/>
    <w:rsid w:val="00F74828"/>
    <w:rsid w:val="00F74F9A"/>
    <w:rsid w:val="00F75085"/>
    <w:rsid w:val="00F75C05"/>
    <w:rsid w:val="00F76D8F"/>
    <w:rsid w:val="00F7719F"/>
    <w:rsid w:val="00F8024E"/>
    <w:rsid w:val="00F805B3"/>
    <w:rsid w:val="00F80815"/>
    <w:rsid w:val="00F81DFF"/>
    <w:rsid w:val="00F81F12"/>
    <w:rsid w:val="00F822BC"/>
    <w:rsid w:val="00F847E1"/>
    <w:rsid w:val="00F85A17"/>
    <w:rsid w:val="00F85F73"/>
    <w:rsid w:val="00F92BC5"/>
    <w:rsid w:val="00F92EA7"/>
    <w:rsid w:val="00F932BF"/>
    <w:rsid w:val="00F93335"/>
    <w:rsid w:val="00F93E46"/>
    <w:rsid w:val="00F94579"/>
    <w:rsid w:val="00F96B4E"/>
    <w:rsid w:val="00F97265"/>
    <w:rsid w:val="00F97FAA"/>
    <w:rsid w:val="00FA0695"/>
    <w:rsid w:val="00FA085C"/>
    <w:rsid w:val="00FA1658"/>
    <w:rsid w:val="00FA2E02"/>
    <w:rsid w:val="00FA373B"/>
    <w:rsid w:val="00FA4BCD"/>
    <w:rsid w:val="00FA64CE"/>
    <w:rsid w:val="00FA6F79"/>
    <w:rsid w:val="00FA7C2C"/>
    <w:rsid w:val="00FB0041"/>
    <w:rsid w:val="00FB1006"/>
    <w:rsid w:val="00FB209F"/>
    <w:rsid w:val="00FB2220"/>
    <w:rsid w:val="00FB4410"/>
    <w:rsid w:val="00FB611A"/>
    <w:rsid w:val="00FB638B"/>
    <w:rsid w:val="00FB6E09"/>
    <w:rsid w:val="00FB7D71"/>
    <w:rsid w:val="00FC0186"/>
    <w:rsid w:val="00FC066E"/>
    <w:rsid w:val="00FC0BC0"/>
    <w:rsid w:val="00FC0C72"/>
    <w:rsid w:val="00FC2BDA"/>
    <w:rsid w:val="00FC2FA2"/>
    <w:rsid w:val="00FC3673"/>
    <w:rsid w:val="00FC4EAD"/>
    <w:rsid w:val="00FC52E4"/>
    <w:rsid w:val="00FC7DBE"/>
    <w:rsid w:val="00FD0B4C"/>
    <w:rsid w:val="00FD0E2C"/>
    <w:rsid w:val="00FD1202"/>
    <w:rsid w:val="00FD6B8D"/>
    <w:rsid w:val="00FD6C2D"/>
    <w:rsid w:val="00FD726D"/>
    <w:rsid w:val="00FD77E6"/>
    <w:rsid w:val="00FD7F94"/>
    <w:rsid w:val="00FE0C5F"/>
    <w:rsid w:val="00FE34B4"/>
    <w:rsid w:val="00FE3D96"/>
    <w:rsid w:val="00FE4E96"/>
    <w:rsid w:val="00FE4F87"/>
    <w:rsid w:val="00FE66F4"/>
    <w:rsid w:val="00FE73EA"/>
    <w:rsid w:val="00FE7CD8"/>
    <w:rsid w:val="00FF0374"/>
    <w:rsid w:val="00FF0C15"/>
    <w:rsid w:val="00FF1DF6"/>
    <w:rsid w:val="00FF5B36"/>
    <w:rsid w:val="00FF6AE1"/>
    <w:rsid w:val="00FF6B38"/>
    <w:rsid w:val="00FF6CAA"/>
    <w:rsid w:val="00FF7AA1"/>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FD625D"/>
  <w14:defaultImageDpi w14:val="330"/>
  <w15:chartTrackingRefBased/>
  <w15:docId w15:val="{3AC18459-1AFE-413F-B3C5-2B8051EE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_Letter - Normal,Figure xxx"/>
    <w:rsid w:val="00C77EF5"/>
    <w:pPr>
      <w:spacing w:after="0" w:line="240" w:lineRule="auto"/>
    </w:pPr>
    <w:rPr>
      <w:rFonts w:ascii="Times New Roman" w:eastAsia="Times New Roman" w:hAnsi="Times New Roman" w:cs="Times New Roman"/>
      <w:sz w:val="24"/>
      <w:szCs w:val="24"/>
      <w:lang w:val="en-AU" w:eastAsia="en-AU"/>
    </w:rPr>
  </w:style>
  <w:style w:type="paragraph" w:styleId="Heading1">
    <w:name w:val="heading 1"/>
    <w:basedOn w:val="Normal"/>
    <w:next w:val="Normal"/>
    <w:link w:val="Heading1Char"/>
    <w:autoRedefine/>
    <w:uiPriority w:val="9"/>
    <w:qFormat/>
    <w:rsid w:val="00FC52E4"/>
    <w:pPr>
      <w:keepNext/>
      <w:spacing w:before="120" w:after="120" w:line="280" w:lineRule="atLeast"/>
      <w:outlineLvl w:val="0"/>
    </w:pPr>
    <w:rPr>
      <w:rFonts w:ascii="Montserrat SemiBold" w:hAnsi="Montserrat SemiBold" w:cs="Arial"/>
      <w:bCs/>
      <w:caps/>
      <w:color w:val="00AEEF"/>
      <w:sz w:val="28"/>
    </w:rPr>
  </w:style>
  <w:style w:type="paragraph" w:styleId="Heading2">
    <w:name w:val="heading 2"/>
    <w:aliases w:val="Std headings"/>
    <w:next w:val="Normal"/>
    <w:link w:val="Heading2Char"/>
    <w:uiPriority w:val="9"/>
    <w:unhideWhenUsed/>
    <w:qFormat/>
    <w:rsid w:val="008F5869"/>
    <w:pPr>
      <w:spacing w:before="120" w:after="120" w:line="240" w:lineRule="auto"/>
      <w:ind w:right="34"/>
      <w:outlineLvl w:val="1"/>
    </w:pPr>
    <w:rPr>
      <w:rFonts w:ascii="Montserrat SemiBold" w:eastAsia="Times New Roman" w:hAnsi="Montserrat SemiBold"/>
      <w:iCs/>
      <w:sz w:val="19"/>
      <w:lang w:val="en-AU" w:eastAsia="en-AU"/>
    </w:rPr>
  </w:style>
  <w:style w:type="paragraph" w:styleId="Heading3">
    <w:name w:val="heading 3"/>
    <w:aliases w:val="MA_Letter - Heading 3"/>
    <w:next w:val="Normal"/>
    <w:link w:val="Heading3Char"/>
    <w:autoRedefine/>
    <w:uiPriority w:val="9"/>
    <w:unhideWhenUsed/>
    <w:qFormat/>
    <w:rsid w:val="00693EA2"/>
    <w:pPr>
      <w:shd w:val="clear" w:color="auto" w:fill="FFFFFF"/>
      <w:spacing w:after="120"/>
      <w:outlineLvl w:val="2"/>
    </w:pPr>
    <w:rPr>
      <w:rFonts w:eastAsia="Times New Roman" w:cs="Times New Roman"/>
      <w:b/>
      <w:color w:val="00AEEF"/>
      <w:szCs w:val="24"/>
      <w:lang w:val="en-AU" w:eastAsia="en-AU"/>
    </w:rPr>
  </w:style>
  <w:style w:type="paragraph" w:styleId="Heading4">
    <w:name w:val="heading 4"/>
    <w:basedOn w:val="Normal"/>
    <w:next w:val="Normal"/>
    <w:link w:val="Heading4Char"/>
    <w:uiPriority w:val="9"/>
    <w:unhideWhenUsed/>
    <w:rsid w:val="00AF107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MA_Letter - Heading 5"/>
    <w:basedOn w:val="Normal"/>
    <w:next w:val="Normal"/>
    <w:link w:val="Heading5Char"/>
    <w:uiPriority w:val="9"/>
    <w:unhideWhenUsed/>
    <w:rsid w:val="00412DBC"/>
    <w:pPr>
      <w:keepNext/>
      <w:keepLines/>
      <w:spacing w:before="40"/>
      <w:outlineLvl w:val="4"/>
    </w:pPr>
    <w:rPr>
      <w:rFonts w:eastAsiaTheme="majorEastAsia" w:cstheme="majorBidi"/>
      <w:color w:val="2F5496" w:themeColor="accent1" w:themeShade="BF"/>
    </w:rPr>
  </w:style>
  <w:style w:type="paragraph" w:styleId="Heading6">
    <w:name w:val="heading 6"/>
    <w:aliases w:val="MA_Letter - Heading 6"/>
    <w:basedOn w:val="Normal"/>
    <w:next w:val="Normal"/>
    <w:link w:val="Heading6Char"/>
    <w:uiPriority w:val="9"/>
    <w:unhideWhenUsed/>
    <w:rsid w:val="00412DBC"/>
    <w:pPr>
      <w:keepNext/>
      <w:keepLines/>
      <w:spacing w:before="40"/>
      <w:outlineLvl w:val="5"/>
    </w:pPr>
    <w:rPr>
      <w:rFonts w:eastAsiaTheme="majorEastAsia" w:cstheme="majorBidi"/>
      <w:color w:val="1F3763" w:themeColor="accent1" w:themeShade="7F"/>
    </w:rPr>
  </w:style>
  <w:style w:type="paragraph" w:styleId="Heading7">
    <w:name w:val="heading 7"/>
    <w:aliases w:val="MA_Letter - Heading 7"/>
    <w:basedOn w:val="Normal"/>
    <w:next w:val="Normal"/>
    <w:link w:val="Heading7Char"/>
    <w:autoRedefine/>
    <w:uiPriority w:val="9"/>
    <w:unhideWhenUsed/>
    <w:rsid w:val="00BD75CF"/>
    <w:pPr>
      <w:keepNext/>
      <w:keepLines/>
      <w:spacing w:before="40"/>
      <w:outlineLvl w:val="6"/>
    </w:pPr>
    <w:rPr>
      <w:rFonts w:ascii="Arial" w:eastAsiaTheme="majorEastAsia" w:hAnsi="Arial" w:cs="Arial"/>
      <w:i/>
      <w:iCs/>
      <w:color w:val="485DAA"/>
      <w:sz w:val="20"/>
      <w:szCs w:val="20"/>
    </w:rPr>
  </w:style>
  <w:style w:type="paragraph" w:styleId="Heading8">
    <w:name w:val="heading 8"/>
    <w:basedOn w:val="Normal"/>
    <w:next w:val="Normal"/>
    <w:link w:val="Heading8Char"/>
    <w:uiPriority w:val="9"/>
    <w:unhideWhenUsed/>
    <w:rsid w:val="00412DBC"/>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rsid w:val="00412DBC"/>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2E4"/>
    <w:rPr>
      <w:rFonts w:ascii="Montserrat SemiBold" w:eastAsia="Times New Roman" w:hAnsi="Montserrat SemiBold"/>
      <w:bCs/>
      <w:caps/>
      <w:color w:val="00AEEF"/>
      <w:sz w:val="28"/>
      <w:szCs w:val="24"/>
      <w:lang w:val="en-AU" w:eastAsia="en-AU"/>
    </w:rPr>
  </w:style>
  <w:style w:type="character" w:customStyle="1" w:styleId="Heading2Char">
    <w:name w:val="Heading 2 Char"/>
    <w:aliases w:val="Std headings Char"/>
    <w:basedOn w:val="DefaultParagraphFont"/>
    <w:link w:val="Heading2"/>
    <w:uiPriority w:val="9"/>
    <w:rsid w:val="008F5869"/>
    <w:rPr>
      <w:rFonts w:ascii="Montserrat SemiBold" w:eastAsia="Times New Roman" w:hAnsi="Montserrat SemiBold"/>
      <w:iCs/>
      <w:sz w:val="19"/>
      <w:lang w:val="en-AU" w:eastAsia="en-AU"/>
    </w:rPr>
  </w:style>
  <w:style w:type="character" w:customStyle="1" w:styleId="Heading3Char">
    <w:name w:val="Heading 3 Char"/>
    <w:aliases w:val="MA_Letter - Heading 3 Char"/>
    <w:basedOn w:val="DefaultParagraphFont"/>
    <w:link w:val="Heading3"/>
    <w:uiPriority w:val="9"/>
    <w:rsid w:val="00693EA2"/>
    <w:rPr>
      <w:rFonts w:eastAsia="Times New Roman" w:cs="Times New Roman"/>
      <w:b/>
      <w:color w:val="00AEEF"/>
      <w:szCs w:val="24"/>
      <w:shd w:val="clear" w:color="auto" w:fill="FFFFFF"/>
      <w:lang w:val="en-AU" w:eastAsia="en-AU"/>
    </w:rPr>
  </w:style>
  <w:style w:type="character" w:customStyle="1" w:styleId="Heading4Char">
    <w:name w:val="Heading 4 Char"/>
    <w:basedOn w:val="DefaultParagraphFont"/>
    <w:link w:val="Heading4"/>
    <w:uiPriority w:val="9"/>
    <w:rsid w:val="00AF1078"/>
    <w:rPr>
      <w:rFonts w:asciiTheme="majorHAnsi" w:eastAsiaTheme="majorEastAsia" w:hAnsiTheme="majorHAnsi" w:cstheme="majorBidi"/>
      <w:i/>
      <w:iCs/>
      <w:color w:val="2F5496" w:themeColor="accent1" w:themeShade="BF"/>
      <w:sz w:val="20"/>
      <w:szCs w:val="24"/>
      <w:lang w:val="en-AU" w:eastAsia="en-AU"/>
    </w:rPr>
  </w:style>
  <w:style w:type="character" w:customStyle="1" w:styleId="Heading5Char">
    <w:name w:val="Heading 5 Char"/>
    <w:aliases w:val="MA_Letter - Heading 5 Char"/>
    <w:basedOn w:val="DefaultParagraphFont"/>
    <w:link w:val="Heading5"/>
    <w:uiPriority w:val="9"/>
    <w:rsid w:val="00412DBC"/>
    <w:rPr>
      <w:rFonts w:ascii="Arial" w:eastAsiaTheme="majorEastAsia" w:hAnsi="Arial" w:cstheme="majorBidi"/>
      <w:color w:val="2F5496" w:themeColor="accent1" w:themeShade="BF"/>
      <w:sz w:val="20"/>
      <w:szCs w:val="24"/>
      <w:lang w:val="en-AU" w:eastAsia="en-AU"/>
    </w:rPr>
  </w:style>
  <w:style w:type="character" w:customStyle="1" w:styleId="Heading6Char">
    <w:name w:val="Heading 6 Char"/>
    <w:aliases w:val="MA_Letter - Heading 6 Char"/>
    <w:basedOn w:val="DefaultParagraphFont"/>
    <w:link w:val="Heading6"/>
    <w:uiPriority w:val="9"/>
    <w:rsid w:val="00412DBC"/>
    <w:rPr>
      <w:rFonts w:ascii="Arial" w:eastAsiaTheme="majorEastAsia" w:hAnsi="Arial" w:cstheme="majorBidi"/>
      <w:color w:val="1F3763" w:themeColor="accent1" w:themeShade="7F"/>
      <w:sz w:val="20"/>
      <w:szCs w:val="24"/>
      <w:lang w:val="en-AU" w:eastAsia="en-AU"/>
    </w:rPr>
  </w:style>
  <w:style w:type="character" w:customStyle="1" w:styleId="Heading7Char">
    <w:name w:val="Heading 7 Char"/>
    <w:aliases w:val="MA_Letter - Heading 7 Char"/>
    <w:basedOn w:val="DefaultParagraphFont"/>
    <w:link w:val="Heading7"/>
    <w:uiPriority w:val="9"/>
    <w:rsid w:val="00BD75CF"/>
    <w:rPr>
      <w:rFonts w:eastAsiaTheme="majorEastAsia"/>
      <w:i/>
      <w:iCs/>
      <w:color w:val="485DAA"/>
      <w:szCs w:val="20"/>
      <w:lang w:val="en-AU" w:eastAsia="en-AU"/>
    </w:rPr>
  </w:style>
  <w:style w:type="character" w:customStyle="1" w:styleId="Heading8Char">
    <w:name w:val="Heading 8 Char"/>
    <w:basedOn w:val="DefaultParagraphFont"/>
    <w:link w:val="Heading8"/>
    <w:uiPriority w:val="9"/>
    <w:rsid w:val="00412DBC"/>
    <w:rPr>
      <w:rFonts w:ascii="Arial" w:eastAsiaTheme="majorEastAsia" w:hAnsi="Arial" w:cstheme="majorBidi"/>
      <w:color w:val="272727" w:themeColor="text1" w:themeTint="D8"/>
      <w:sz w:val="21"/>
      <w:szCs w:val="21"/>
      <w:lang w:val="en-AU" w:eastAsia="en-AU"/>
    </w:rPr>
  </w:style>
  <w:style w:type="character" w:customStyle="1" w:styleId="Heading9Char">
    <w:name w:val="Heading 9 Char"/>
    <w:basedOn w:val="DefaultParagraphFont"/>
    <w:link w:val="Heading9"/>
    <w:uiPriority w:val="9"/>
    <w:rsid w:val="00412DBC"/>
    <w:rPr>
      <w:rFonts w:ascii="Arial" w:eastAsiaTheme="majorEastAsia" w:hAnsi="Arial" w:cstheme="majorBidi"/>
      <w:i/>
      <w:iCs/>
      <w:color w:val="272727" w:themeColor="text1" w:themeTint="D8"/>
      <w:sz w:val="21"/>
      <w:szCs w:val="21"/>
      <w:lang w:val="en-AU" w:eastAsia="en-AU"/>
    </w:rPr>
  </w:style>
  <w:style w:type="paragraph" w:styleId="Footer">
    <w:name w:val="footer"/>
    <w:aliases w:val="MA Letter_Footer"/>
    <w:link w:val="FooterChar"/>
    <w:autoRedefine/>
    <w:uiPriority w:val="99"/>
    <w:unhideWhenUsed/>
    <w:rsid w:val="001C0C06"/>
    <w:pPr>
      <w:tabs>
        <w:tab w:val="center" w:pos="4513"/>
        <w:tab w:val="right" w:pos="9026"/>
      </w:tabs>
    </w:pPr>
    <w:rPr>
      <w:rFonts w:eastAsia="Times New Roman" w:cs="Times New Roman"/>
      <w:i/>
      <w:sz w:val="18"/>
      <w:szCs w:val="24"/>
      <w:lang w:val="en-AU" w:eastAsia="en-AU"/>
    </w:rPr>
  </w:style>
  <w:style w:type="character" w:customStyle="1" w:styleId="FooterChar">
    <w:name w:val="Footer Char"/>
    <w:aliases w:val="MA Letter_Footer Char"/>
    <w:basedOn w:val="DefaultParagraphFont"/>
    <w:link w:val="Footer"/>
    <w:uiPriority w:val="99"/>
    <w:rsid w:val="001C0C06"/>
    <w:rPr>
      <w:rFonts w:eastAsia="Times New Roman" w:cs="Times New Roman"/>
      <w:i/>
      <w:sz w:val="18"/>
      <w:szCs w:val="24"/>
      <w:lang w:val="en-AU" w:eastAsia="en-AU"/>
    </w:rPr>
  </w:style>
  <w:style w:type="paragraph" w:customStyle="1" w:styleId="MAAddress-BodyCopy">
    <w:name w:val="MA_Address - Body Copy"/>
    <w:link w:val="MAAddress-BodyCopyChar"/>
    <w:autoRedefine/>
    <w:rsid w:val="00BD75CF"/>
    <w:pPr>
      <w:tabs>
        <w:tab w:val="left" w:pos="567"/>
        <w:tab w:val="left" w:pos="1134"/>
        <w:tab w:val="left" w:pos="1701"/>
        <w:tab w:val="left" w:pos="2268"/>
        <w:tab w:val="right" w:pos="9072"/>
      </w:tabs>
      <w:spacing w:before="80" w:after="80"/>
      <w:jc w:val="right"/>
    </w:pPr>
    <w:rPr>
      <w:rFonts w:eastAsia="Times New Roman"/>
      <w:b/>
      <w:bCs/>
      <w:color w:val="00AEEF"/>
      <w:lang w:val="en-AU" w:eastAsia="en-AU"/>
    </w:rPr>
  </w:style>
  <w:style w:type="character" w:customStyle="1" w:styleId="MAAddress-BodyCopyChar">
    <w:name w:val="MA_Address - Body Copy Char"/>
    <w:basedOn w:val="DefaultParagraphFont"/>
    <w:link w:val="MAAddress-BodyCopy"/>
    <w:rsid w:val="00BD75CF"/>
    <w:rPr>
      <w:rFonts w:eastAsia="Times New Roman"/>
      <w:b/>
      <w:bCs/>
      <w:color w:val="00AEEF"/>
      <w:lang w:val="en-AU" w:eastAsia="en-AU"/>
    </w:rPr>
  </w:style>
  <w:style w:type="paragraph" w:customStyle="1" w:styleId="MALetter-Bullet1">
    <w:name w:val="MA_Letter - Bullet 1"/>
    <w:link w:val="MALetter-Bullet1Char"/>
    <w:autoRedefine/>
    <w:rsid w:val="00C558E0"/>
    <w:pPr>
      <w:tabs>
        <w:tab w:val="left" w:pos="567"/>
        <w:tab w:val="left" w:pos="1134"/>
        <w:tab w:val="left" w:pos="1701"/>
        <w:tab w:val="left" w:pos="2268"/>
        <w:tab w:val="right" w:pos="9072"/>
      </w:tabs>
      <w:spacing w:before="80" w:after="80" w:line="240" w:lineRule="auto"/>
    </w:pPr>
    <w:rPr>
      <w:rFonts w:eastAsia="Times New Roman"/>
      <w:lang w:val="en-AU" w:eastAsia="en-AU"/>
    </w:rPr>
  </w:style>
  <w:style w:type="character" w:customStyle="1" w:styleId="MALetter-Bullet1Char">
    <w:name w:val="MA_Letter - Bullet 1 Char"/>
    <w:basedOn w:val="DefaultParagraphFont"/>
    <w:link w:val="MALetter-Bullet1"/>
    <w:rsid w:val="00C558E0"/>
    <w:rPr>
      <w:rFonts w:eastAsia="Times New Roman"/>
      <w:lang w:val="en-AU" w:eastAsia="en-AU"/>
    </w:rPr>
  </w:style>
  <w:style w:type="paragraph" w:customStyle="1" w:styleId="MALetter-Alpha1">
    <w:name w:val="MA_Letter - Alpha 1"/>
    <w:autoRedefine/>
    <w:rsid w:val="007B5238"/>
    <w:pPr>
      <w:numPr>
        <w:numId w:val="1"/>
      </w:numPr>
      <w:tabs>
        <w:tab w:val="left" w:pos="1134"/>
        <w:tab w:val="left" w:pos="1701"/>
        <w:tab w:val="left" w:pos="2268"/>
        <w:tab w:val="right" w:pos="9072"/>
      </w:tabs>
      <w:spacing w:before="80" w:after="80"/>
    </w:pPr>
    <w:rPr>
      <w:rFonts w:eastAsia="Times New Roman"/>
      <w:lang w:val="en-AU" w:eastAsia="en-AU"/>
    </w:rPr>
  </w:style>
  <w:style w:type="paragraph" w:styleId="ListParagraph">
    <w:name w:val="List Paragraph"/>
    <w:aliases w:val="MA_REPORT Body List Para"/>
    <w:basedOn w:val="Normal"/>
    <w:link w:val="ListParagraphChar"/>
    <w:uiPriority w:val="34"/>
    <w:rsid w:val="004F6140"/>
    <w:pPr>
      <w:numPr>
        <w:numId w:val="4"/>
      </w:numPr>
      <w:spacing w:before="80" w:after="80"/>
      <w:ind w:left="0"/>
    </w:pPr>
    <w:rPr>
      <w:rFonts w:ascii="Arial" w:hAnsi="Arial" w:cs="Arial"/>
      <w:sz w:val="20"/>
      <w:szCs w:val="20"/>
    </w:rPr>
  </w:style>
  <w:style w:type="character" w:customStyle="1" w:styleId="ListParagraphChar">
    <w:name w:val="List Paragraph Char"/>
    <w:aliases w:val="MA_REPORT Body List Para Char"/>
    <w:basedOn w:val="DefaultParagraphFont"/>
    <w:link w:val="ListParagraph"/>
    <w:uiPriority w:val="34"/>
    <w:rsid w:val="004F6140"/>
    <w:rPr>
      <w:rFonts w:eastAsia="Times New Roman"/>
      <w:szCs w:val="20"/>
      <w:lang w:val="en-AU" w:eastAsia="en-AU"/>
    </w:rPr>
  </w:style>
  <w:style w:type="paragraph" w:customStyle="1" w:styleId="MALetter-Alpha3">
    <w:name w:val="MA_Letter - Alpha 3"/>
    <w:basedOn w:val="Normal"/>
    <w:link w:val="MALetter-Alpha3Char"/>
    <w:autoRedefine/>
    <w:rsid w:val="00043D4D"/>
    <w:pPr>
      <w:numPr>
        <w:ilvl w:val="1"/>
        <w:numId w:val="2"/>
      </w:numPr>
      <w:spacing w:before="80" w:after="80"/>
      <w:ind w:left="1701" w:hanging="567"/>
    </w:pPr>
    <w:rPr>
      <w:rFonts w:ascii="Arial" w:hAnsi="Arial" w:cs="Arial"/>
      <w:sz w:val="20"/>
      <w:szCs w:val="20"/>
    </w:rPr>
  </w:style>
  <w:style w:type="character" w:customStyle="1" w:styleId="MALetter-Alpha3Char">
    <w:name w:val="MA_Letter - Alpha 3 Char"/>
    <w:basedOn w:val="DefaultParagraphFont"/>
    <w:link w:val="MALetter-Alpha3"/>
    <w:rsid w:val="00043D4D"/>
    <w:rPr>
      <w:rFonts w:eastAsia="Times New Roman"/>
      <w:szCs w:val="20"/>
      <w:lang w:val="en-AU" w:eastAsia="en-AU"/>
    </w:rPr>
  </w:style>
  <w:style w:type="paragraph" w:customStyle="1" w:styleId="Bullet">
    <w:name w:val="Bullet"/>
    <w:basedOn w:val="MALetter-Bullet1"/>
    <w:link w:val="BulletChar"/>
    <w:autoRedefine/>
    <w:qFormat/>
    <w:rsid w:val="006E5412"/>
    <w:pPr>
      <w:numPr>
        <w:numId w:val="10"/>
      </w:numPr>
    </w:pPr>
    <w:rPr>
      <w:rFonts w:ascii="Montserrat" w:hAnsi="Montserrat"/>
      <w:sz w:val="19"/>
      <w:szCs w:val="20"/>
      <w:lang w:val="en-US"/>
    </w:rPr>
  </w:style>
  <w:style w:type="character" w:customStyle="1" w:styleId="BulletChar">
    <w:name w:val="Bullet Char"/>
    <w:basedOn w:val="MALetter-Bullet1Char"/>
    <w:link w:val="Bullet"/>
    <w:rsid w:val="006E5412"/>
    <w:rPr>
      <w:rFonts w:ascii="Montserrat" w:eastAsia="Times New Roman" w:hAnsi="Montserrat"/>
      <w:sz w:val="19"/>
      <w:szCs w:val="20"/>
      <w:lang w:val="en-US" w:eastAsia="en-AU"/>
    </w:rPr>
  </w:style>
  <w:style w:type="paragraph" w:customStyle="1" w:styleId="MAReport-Heading3">
    <w:name w:val="MA_Report - Heading 3"/>
    <w:basedOn w:val="Heading3"/>
    <w:rsid w:val="00B27C9C"/>
    <w:pPr>
      <w:spacing w:before="200" w:after="80"/>
    </w:pPr>
    <w:rPr>
      <w:b w:val="0"/>
    </w:rPr>
  </w:style>
  <w:style w:type="paragraph" w:styleId="Header">
    <w:name w:val="header"/>
    <w:basedOn w:val="Normal"/>
    <w:link w:val="HeaderChar"/>
    <w:uiPriority w:val="99"/>
    <w:unhideWhenUsed/>
    <w:rsid w:val="00343D12"/>
    <w:pPr>
      <w:tabs>
        <w:tab w:val="center" w:pos="4513"/>
        <w:tab w:val="right" w:pos="9026"/>
      </w:tabs>
    </w:pPr>
  </w:style>
  <w:style w:type="character" w:customStyle="1" w:styleId="HeaderChar">
    <w:name w:val="Header Char"/>
    <w:basedOn w:val="DefaultParagraphFont"/>
    <w:link w:val="Header"/>
    <w:uiPriority w:val="99"/>
    <w:rsid w:val="00343D12"/>
  </w:style>
  <w:style w:type="paragraph" w:styleId="BalloonText">
    <w:name w:val="Balloon Text"/>
    <w:basedOn w:val="Normal"/>
    <w:link w:val="BalloonTextChar"/>
    <w:uiPriority w:val="99"/>
    <w:semiHidden/>
    <w:unhideWhenUsed/>
    <w:rsid w:val="007D77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703"/>
    <w:rPr>
      <w:rFonts w:ascii="Segoe UI" w:eastAsia="Times New Roman" w:hAnsi="Segoe UI" w:cs="Segoe UI"/>
      <w:sz w:val="18"/>
      <w:szCs w:val="18"/>
      <w:lang w:val="en-AU" w:eastAsia="en-AU"/>
    </w:rPr>
  </w:style>
  <w:style w:type="paragraph" w:customStyle="1" w:styleId="MALetter-Number1">
    <w:name w:val="MA_Letter - Number 1"/>
    <w:basedOn w:val="ListParagraph"/>
    <w:link w:val="MALetter-Number1Char"/>
    <w:rsid w:val="0098563D"/>
    <w:pPr>
      <w:numPr>
        <w:numId w:val="3"/>
      </w:numPr>
      <w:spacing w:before="120" w:after="120"/>
      <w:ind w:left="567" w:hanging="567"/>
    </w:pPr>
  </w:style>
  <w:style w:type="character" w:customStyle="1" w:styleId="MALetter-Number1Char">
    <w:name w:val="MA_Letter - Number 1 Char"/>
    <w:basedOn w:val="ListParagraphChar"/>
    <w:link w:val="MALetter-Number1"/>
    <w:rsid w:val="0098563D"/>
    <w:rPr>
      <w:rFonts w:eastAsia="Times New Roman"/>
      <w:szCs w:val="20"/>
      <w:lang w:val="en-AU" w:eastAsia="en-AU"/>
    </w:rPr>
  </w:style>
  <w:style w:type="paragraph" w:styleId="Date">
    <w:name w:val="Date"/>
    <w:basedOn w:val="Normal"/>
    <w:next w:val="Normal"/>
    <w:link w:val="DateChar"/>
    <w:uiPriority w:val="99"/>
    <w:semiHidden/>
    <w:unhideWhenUsed/>
    <w:rsid w:val="007A4CD7"/>
  </w:style>
  <w:style w:type="character" w:customStyle="1" w:styleId="DateChar">
    <w:name w:val="Date Char"/>
    <w:basedOn w:val="DefaultParagraphFont"/>
    <w:link w:val="Date"/>
    <w:uiPriority w:val="99"/>
    <w:semiHidden/>
    <w:rsid w:val="007A4CD7"/>
    <w:rPr>
      <w:rFonts w:ascii="Arial" w:eastAsia="Times New Roman" w:hAnsi="Arial" w:cs="Times New Roman"/>
      <w:sz w:val="20"/>
      <w:szCs w:val="24"/>
      <w:lang w:val="en-AU" w:eastAsia="en-AU"/>
    </w:rPr>
  </w:style>
  <w:style w:type="paragraph" w:styleId="NoSpacing">
    <w:name w:val="No Spacing"/>
    <w:aliases w:val="MA_Proposal - No Spacing"/>
    <w:link w:val="NoSpacingChar"/>
    <w:uiPriority w:val="1"/>
    <w:rsid w:val="00B70408"/>
    <w:pPr>
      <w:tabs>
        <w:tab w:val="left" w:pos="567"/>
        <w:tab w:val="left" w:pos="1134"/>
        <w:tab w:val="left" w:pos="1701"/>
        <w:tab w:val="left" w:pos="2268"/>
        <w:tab w:val="right" w:pos="9072"/>
      </w:tabs>
      <w:spacing w:after="0" w:line="240" w:lineRule="auto"/>
      <w:jc w:val="both"/>
    </w:pPr>
    <w:rPr>
      <w:rFonts w:eastAsia="Times New Roman" w:cs="Times New Roman"/>
      <w:szCs w:val="24"/>
      <w:lang w:val="en-AU" w:eastAsia="en-AU"/>
    </w:rPr>
  </w:style>
  <w:style w:type="character" w:customStyle="1" w:styleId="NoSpacingChar">
    <w:name w:val="No Spacing Char"/>
    <w:aliases w:val="MA_Proposal - No Spacing Char"/>
    <w:basedOn w:val="DefaultParagraphFont"/>
    <w:link w:val="NoSpacing"/>
    <w:uiPriority w:val="1"/>
    <w:rsid w:val="00E43AB5"/>
    <w:rPr>
      <w:rFonts w:eastAsia="Times New Roman" w:cs="Times New Roman"/>
      <w:szCs w:val="24"/>
      <w:lang w:val="en-AU" w:eastAsia="en-AU"/>
    </w:rPr>
  </w:style>
  <w:style w:type="paragraph" w:customStyle="1" w:styleId="MAProposal-BodyCopy">
    <w:name w:val="MA_Proposal - Body Copy"/>
    <w:rsid w:val="008F4486"/>
    <w:pPr>
      <w:tabs>
        <w:tab w:val="left" w:pos="567"/>
        <w:tab w:val="left" w:pos="1134"/>
        <w:tab w:val="left" w:pos="1701"/>
        <w:tab w:val="left" w:pos="2268"/>
        <w:tab w:val="right" w:pos="9072"/>
      </w:tabs>
      <w:spacing w:before="80" w:after="80" w:line="240" w:lineRule="exact"/>
    </w:pPr>
    <w:rPr>
      <w:rFonts w:eastAsiaTheme="minorEastAsia"/>
      <w:color w:val="000000" w:themeColor="text1"/>
      <w:szCs w:val="18"/>
      <w:lang w:val="en-GB" w:eastAsia="zh-CN"/>
    </w:rPr>
  </w:style>
  <w:style w:type="table" w:styleId="GridTable4-Accent5">
    <w:name w:val="Grid Table 4 Accent 5"/>
    <w:aliases w:val="MA_Test"/>
    <w:basedOn w:val="TableNormal"/>
    <w:uiPriority w:val="49"/>
    <w:rsid w:val="008125EC"/>
    <w:pPr>
      <w:spacing w:before="60" w:after="60"/>
    </w:pPr>
    <w:tblPr>
      <w:tblStyleRowBandSize w:val="1"/>
      <w:tblStyleColBandSize w:val="1"/>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Pr>
    <w:tcPr>
      <w:vAlign w:val="center"/>
    </w:tc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PlainTable1">
    <w:name w:val="Plain Table 1"/>
    <w:basedOn w:val="TableNormal"/>
    <w:uiPriority w:val="41"/>
    <w:rsid w:val="0027359B"/>
    <w:pPr>
      <w:spacing w:after="0"/>
    </w:pPr>
    <w:rPr>
      <w:color w:val="FFFFFF" w:themeColor="background1"/>
    </w:rPr>
    <w:tblPr>
      <w:tblStyleRowBandSize w:val="1"/>
      <w:tblStyleColBandSize w:val="1"/>
    </w:tblPr>
    <w:tcPr>
      <w:vAlign w:val="center"/>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AProposal-LeaderText">
    <w:name w:val="MA_Proposal - Leader Text"/>
    <w:next w:val="MAProposal-BodyCopy"/>
    <w:qFormat/>
    <w:rsid w:val="00B70408"/>
    <w:pPr>
      <w:spacing w:after="360" w:line="280" w:lineRule="exact"/>
    </w:pPr>
    <w:rPr>
      <w:rFonts w:eastAsiaTheme="minorEastAsia"/>
      <w:b/>
      <w:color w:val="00AEEF"/>
      <w:sz w:val="24"/>
      <w:szCs w:val="24"/>
      <w:lang w:val="en-GB" w:eastAsia="zh-CN"/>
    </w:rPr>
  </w:style>
  <w:style w:type="character" w:styleId="Hyperlink">
    <w:name w:val="Hyperlink"/>
    <w:basedOn w:val="DefaultParagraphFont"/>
    <w:uiPriority w:val="99"/>
    <w:unhideWhenUsed/>
    <w:rsid w:val="00B70408"/>
    <w:rPr>
      <w:color w:val="0563C1" w:themeColor="hyperlink"/>
      <w:u w:val="single"/>
    </w:rPr>
  </w:style>
  <w:style w:type="paragraph" w:customStyle="1" w:styleId="MACoverDate">
    <w:name w:val="MA_Cover Date"/>
    <w:rsid w:val="00AB19B4"/>
    <w:pPr>
      <w:spacing w:before="360"/>
    </w:pPr>
    <w:rPr>
      <w:rFonts w:eastAsia="Times New Roman"/>
      <w:caps/>
      <w:spacing w:val="50"/>
      <w:sz w:val="24"/>
      <w:lang w:val="en-AU" w:eastAsia="en-AU"/>
    </w:rPr>
  </w:style>
  <w:style w:type="character" w:styleId="PageNumber">
    <w:name w:val="page number"/>
    <w:basedOn w:val="DefaultParagraphFont"/>
    <w:uiPriority w:val="99"/>
    <w:semiHidden/>
    <w:unhideWhenUsed/>
    <w:rsid w:val="00B70408"/>
    <w:rPr>
      <w:rFonts w:ascii="Arial" w:hAnsi="Arial"/>
      <w:b/>
      <w:color w:val="000000" w:themeColor="text1"/>
    </w:rPr>
  </w:style>
  <w:style w:type="paragraph" w:customStyle="1" w:styleId="MAREPORT-SubheadingBlack">
    <w:name w:val="MA_REPORT - Subheading Black"/>
    <w:basedOn w:val="Normal"/>
    <w:link w:val="MAREPORT-SubheadingBlackChar"/>
    <w:autoRedefine/>
    <w:rsid w:val="00540BAC"/>
    <w:pPr>
      <w:numPr>
        <w:ilvl w:val="1"/>
        <w:numId w:val="5"/>
      </w:numPr>
      <w:spacing w:before="240" w:after="180"/>
    </w:pPr>
    <w:rPr>
      <w:rFonts w:ascii="Arial" w:eastAsiaTheme="minorEastAsia" w:hAnsi="Arial" w:cs="Arial"/>
      <w:b/>
      <w:color w:val="000000" w:themeColor="text1"/>
      <w:lang w:val="en-GB" w:eastAsia="zh-CN"/>
    </w:rPr>
  </w:style>
  <w:style w:type="character" w:customStyle="1" w:styleId="MAREPORT-SubheadingBlackChar">
    <w:name w:val="MA_REPORT - Subheading Black Char"/>
    <w:basedOn w:val="DefaultParagraphFont"/>
    <w:link w:val="MAREPORT-SubheadingBlack"/>
    <w:rsid w:val="00540BAC"/>
    <w:rPr>
      <w:rFonts w:eastAsiaTheme="minorEastAsia"/>
      <w:b/>
      <w:color w:val="000000" w:themeColor="text1"/>
      <w:sz w:val="24"/>
      <w:szCs w:val="24"/>
      <w:lang w:val="en-GB" w:eastAsia="zh-CN"/>
    </w:rPr>
  </w:style>
  <w:style w:type="table" w:styleId="TableGrid">
    <w:name w:val="Table Grid"/>
    <w:basedOn w:val="TableNormal"/>
    <w:uiPriority w:val="59"/>
    <w:rsid w:val="00B70408"/>
    <w:pPr>
      <w:spacing w:after="0" w:line="240" w:lineRule="auto"/>
    </w:pPr>
    <w:rPr>
      <w:rFonts w:eastAsiaTheme="minorEastAsia"/>
      <w:sz w:val="24"/>
      <w:szCs w:val="24"/>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Section Heading"/>
    <w:basedOn w:val="Normal"/>
    <w:next w:val="Normal"/>
    <w:link w:val="TOC1Char"/>
    <w:autoRedefine/>
    <w:uiPriority w:val="39"/>
    <w:unhideWhenUsed/>
    <w:rsid w:val="00E6540F"/>
    <w:pPr>
      <w:spacing w:before="120"/>
    </w:pPr>
    <w:rPr>
      <w:rFonts w:cstheme="minorHAnsi"/>
      <w:b/>
      <w:bCs/>
      <w:iCs/>
      <w:caps/>
      <w:szCs w:val="28"/>
    </w:rPr>
  </w:style>
  <w:style w:type="character" w:customStyle="1" w:styleId="TOC1Char">
    <w:name w:val="TOC 1 Char"/>
    <w:aliases w:val="Section Heading Char"/>
    <w:basedOn w:val="DefaultParagraphFont"/>
    <w:link w:val="TOC1"/>
    <w:uiPriority w:val="39"/>
    <w:rsid w:val="00E6540F"/>
    <w:rPr>
      <w:rFonts w:cstheme="minorHAnsi"/>
      <w:b/>
      <w:bCs/>
      <w:iCs/>
      <w:caps/>
      <w:szCs w:val="28"/>
    </w:rPr>
  </w:style>
  <w:style w:type="table" w:styleId="ListTable3-Accent5">
    <w:name w:val="List Table 3 Accent 5"/>
    <w:aliases w:val="MA_Table"/>
    <w:basedOn w:val="TableNormal"/>
    <w:uiPriority w:val="48"/>
    <w:rsid w:val="00753571"/>
    <w:pPr>
      <w:spacing w:after="0" w:line="240" w:lineRule="auto"/>
    </w:pPr>
    <w:tblPr>
      <w:tblStyleRowBandSize w:val="1"/>
      <w:tblStyleColBandSize w:val="1"/>
      <w:tblBorders>
        <w:top w:val="single" w:sz="4" w:space="0" w:color="00AEEF"/>
        <w:left w:val="single" w:sz="4" w:space="0" w:color="00AEEF"/>
        <w:bottom w:val="single" w:sz="4" w:space="0" w:color="00AEEF"/>
        <w:right w:val="single" w:sz="4" w:space="0" w:color="00AEEF"/>
      </w:tblBorders>
    </w:tblPr>
    <w:tcPr>
      <w:shd w:val="clear" w:color="auto" w:fill="auto"/>
      <w:vAlign w:val="center"/>
    </w:tcPr>
    <w:tblStylePr w:type="firstRow">
      <w:rPr>
        <w:b/>
        <w:bCs/>
        <w:color w:val="FFFFFF" w:themeColor="background1"/>
      </w:rPr>
      <w:tblPr/>
      <w:tcPr>
        <w:shd w:val="clear" w:color="auto" w:fill="00AEEF"/>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eGridLight">
    <w:name w:val="Grid Table Light"/>
    <w:basedOn w:val="TableNormal"/>
    <w:uiPriority w:val="40"/>
    <w:rsid w:val="003051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786DCC"/>
    <w:rPr>
      <w:szCs w:val="20"/>
    </w:rPr>
  </w:style>
  <w:style w:type="character" w:customStyle="1" w:styleId="FootnoteTextChar">
    <w:name w:val="Footnote Text Char"/>
    <w:basedOn w:val="DefaultParagraphFont"/>
    <w:link w:val="FootnoteText"/>
    <w:uiPriority w:val="99"/>
    <w:rsid w:val="00786DCC"/>
    <w:rPr>
      <w:szCs w:val="20"/>
    </w:rPr>
  </w:style>
  <w:style w:type="character" w:styleId="FootnoteReference">
    <w:name w:val="footnote reference"/>
    <w:basedOn w:val="DefaultParagraphFont"/>
    <w:uiPriority w:val="99"/>
    <w:unhideWhenUsed/>
    <w:rsid w:val="00786DCC"/>
    <w:rPr>
      <w:vertAlign w:val="superscript"/>
    </w:rPr>
  </w:style>
  <w:style w:type="character" w:styleId="CommentReference">
    <w:name w:val="annotation reference"/>
    <w:basedOn w:val="DefaultParagraphFont"/>
    <w:uiPriority w:val="99"/>
    <w:semiHidden/>
    <w:unhideWhenUsed/>
    <w:rsid w:val="00C8550B"/>
    <w:rPr>
      <w:sz w:val="16"/>
      <w:szCs w:val="16"/>
    </w:rPr>
  </w:style>
  <w:style w:type="paragraph" w:styleId="CommentText">
    <w:name w:val="annotation text"/>
    <w:basedOn w:val="Normal"/>
    <w:link w:val="CommentTextChar"/>
    <w:uiPriority w:val="99"/>
    <w:unhideWhenUsed/>
    <w:rsid w:val="00C8550B"/>
    <w:rPr>
      <w:szCs w:val="20"/>
    </w:rPr>
  </w:style>
  <w:style w:type="character" w:customStyle="1" w:styleId="CommentTextChar">
    <w:name w:val="Comment Text Char"/>
    <w:basedOn w:val="DefaultParagraphFont"/>
    <w:link w:val="CommentText"/>
    <w:uiPriority w:val="99"/>
    <w:rsid w:val="00C8550B"/>
    <w:rPr>
      <w:szCs w:val="20"/>
    </w:rPr>
  </w:style>
  <w:style w:type="paragraph" w:styleId="CommentSubject">
    <w:name w:val="annotation subject"/>
    <w:basedOn w:val="CommentText"/>
    <w:next w:val="CommentText"/>
    <w:link w:val="CommentSubjectChar"/>
    <w:uiPriority w:val="99"/>
    <w:semiHidden/>
    <w:unhideWhenUsed/>
    <w:rsid w:val="00C8550B"/>
    <w:rPr>
      <w:b/>
      <w:bCs/>
    </w:rPr>
  </w:style>
  <w:style w:type="character" w:customStyle="1" w:styleId="CommentSubjectChar">
    <w:name w:val="Comment Subject Char"/>
    <w:basedOn w:val="CommentTextChar"/>
    <w:link w:val="CommentSubject"/>
    <w:uiPriority w:val="99"/>
    <w:semiHidden/>
    <w:rsid w:val="00C8550B"/>
    <w:rPr>
      <w:b/>
      <w:bCs/>
      <w:szCs w:val="20"/>
    </w:rPr>
  </w:style>
  <w:style w:type="paragraph" w:styleId="TOCHeading">
    <w:name w:val="TOC Heading"/>
    <w:basedOn w:val="Normal"/>
    <w:next w:val="Normal"/>
    <w:uiPriority w:val="39"/>
    <w:unhideWhenUsed/>
    <w:qFormat/>
    <w:rsid w:val="001A5B21"/>
    <w:pPr>
      <w:keepNext/>
      <w:keepLines/>
      <w:pageBreakBefore/>
      <w:spacing w:before="120" w:after="120"/>
    </w:pPr>
    <w:rPr>
      <w:rFonts w:ascii="Arial" w:eastAsiaTheme="majorEastAsia" w:hAnsi="Arial" w:cs="Arial"/>
      <w:b/>
      <w:caps/>
      <w:color w:val="00B0F0"/>
      <w:sz w:val="28"/>
      <w:szCs w:val="18"/>
      <w:lang w:eastAsia="zh-CN"/>
    </w:rPr>
  </w:style>
  <w:style w:type="paragraph" w:styleId="TOC2">
    <w:name w:val="toc 2"/>
    <w:basedOn w:val="Normal"/>
    <w:next w:val="Normal"/>
    <w:link w:val="TOC2Char"/>
    <w:autoRedefine/>
    <w:uiPriority w:val="39"/>
    <w:unhideWhenUsed/>
    <w:rsid w:val="00295E4D"/>
    <w:pPr>
      <w:tabs>
        <w:tab w:val="left" w:pos="1000"/>
        <w:tab w:val="right" w:leader="dot" w:pos="8941"/>
      </w:tabs>
      <w:spacing w:before="120"/>
      <w:ind w:left="200"/>
    </w:pPr>
    <w:rPr>
      <w:rFonts w:asciiTheme="minorHAnsi" w:eastAsiaTheme="minorEastAsia" w:hAnsiTheme="minorHAnsi" w:cstheme="minorBidi"/>
      <w:noProof/>
      <w:sz w:val="22"/>
      <w:szCs w:val="22"/>
    </w:rPr>
  </w:style>
  <w:style w:type="character" w:customStyle="1" w:styleId="TOC2Char">
    <w:name w:val="TOC 2 Char"/>
    <w:basedOn w:val="MAREPORT-SubheadingBlackChar"/>
    <w:link w:val="TOC2"/>
    <w:uiPriority w:val="39"/>
    <w:rsid w:val="00295E4D"/>
    <w:rPr>
      <w:rFonts w:asciiTheme="minorHAnsi" w:eastAsiaTheme="minorEastAsia" w:hAnsiTheme="minorHAnsi" w:cstheme="minorBidi"/>
      <w:b w:val="0"/>
      <w:noProof/>
      <w:color w:val="000000" w:themeColor="text1"/>
      <w:sz w:val="22"/>
      <w:szCs w:val="24"/>
      <w:lang w:val="en-AU" w:eastAsia="en-AU"/>
    </w:rPr>
  </w:style>
  <w:style w:type="paragraph" w:styleId="TOC4">
    <w:name w:val="toc 4"/>
    <w:basedOn w:val="Normal"/>
    <w:next w:val="Normal"/>
    <w:autoRedefine/>
    <w:uiPriority w:val="39"/>
    <w:semiHidden/>
    <w:unhideWhenUsed/>
    <w:rsid w:val="0091330C"/>
    <w:pPr>
      <w:ind w:left="600"/>
    </w:pPr>
    <w:rPr>
      <w:rFonts w:asciiTheme="minorHAnsi" w:hAnsiTheme="minorHAnsi" w:cstheme="minorHAnsi"/>
    </w:rPr>
  </w:style>
  <w:style w:type="paragraph" w:styleId="TOC5">
    <w:name w:val="toc 5"/>
    <w:basedOn w:val="Normal"/>
    <w:next w:val="Normal"/>
    <w:autoRedefine/>
    <w:uiPriority w:val="39"/>
    <w:semiHidden/>
    <w:unhideWhenUsed/>
    <w:rsid w:val="0091330C"/>
    <w:pPr>
      <w:ind w:left="800"/>
    </w:pPr>
    <w:rPr>
      <w:rFonts w:asciiTheme="minorHAnsi" w:hAnsiTheme="minorHAnsi" w:cstheme="minorHAnsi"/>
    </w:rPr>
  </w:style>
  <w:style w:type="paragraph" w:styleId="TOC6">
    <w:name w:val="toc 6"/>
    <w:basedOn w:val="Normal"/>
    <w:next w:val="Normal"/>
    <w:autoRedefine/>
    <w:uiPriority w:val="39"/>
    <w:semiHidden/>
    <w:unhideWhenUsed/>
    <w:rsid w:val="0091330C"/>
    <w:pPr>
      <w:ind w:left="1000"/>
    </w:pPr>
    <w:rPr>
      <w:rFonts w:asciiTheme="minorHAnsi" w:hAnsiTheme="minorHAnsi" w:cstheme="minorHAnsi"/>
    </w:rPr>
  </w:style>
  <w:style w:type="paragraph" w:styleId="TOC7">
    <w:name w:val="toc 7"/>
    <w:basedOn w:val="Normal"/>
    <w:next w:val="Normal"/>
    <w:autoRedefine/>
    <w:uiPriority w:val="39"/>
    <w:semiHidden/>
    <w:unhideWhenUsed/>
    <w:rsid w:val="0091330C"/>
    <w:pPr>
      <w:ind w:left="1200"/>
    </w:pPr>
    <w:rPr>
      <w:rFonts w:asciiTheme="minorHAnsi" w:hAnsiTheme="minorHAnsi" w:cstheme="minorHAnsi"/>
    </w:rPr>
  </w:style>
  <w:style w:type="paragraph" w:styleId="TOC8">
    <w:name w:val="toc 8"/>
    <w:basedOn w:val="Normal"/>
    <w:next w:val="Normal"/>
    <w:autoRedefine/>
    <w:uiPriority w:val="39"/>
    <w:semiHidden/>
    <w:unhideWhenUsed/>
    <w:rsid w:val="0091330C"/>
    <w:pPr>
      <w:ind w:left="1400"/>
    </w:pPr>
    <w:rPr>
      <w:rFonts w:asciiTheme="minorHAnsi" w:hAnsiTheme="minorHAnsi" w:cstheme="minorHAnsi"/>
    </w:rPr>
  </w:style>
  <w:style w:type="paragraph" w:styleId="TOC9">
    <w:name w:val="toc 9"/>
    <w:basedOn w:val="Normal"/>
    <w:next w:val="Normal"/>
    <w:autoRedefine/>
    <w:uiPriority w:val="39"/>
    <w:semiHidden/>
    <w:unhideWhenUsed/>
    <w:rsid w:val="0091330C"/>
    <w:pPr>
      <w:ind w:left="1600"/>
    </w:pPr>
    <w:rPr>
      <w:rFonts w:asciiTheme="minorHAnsi" w:hAnsiTheme="minorHAnsi" w:cstheme="minorHAnsi"/>
    </w:rPr>
  </w:style>
  <w:style w:type="paragraph" w:customStyle="1" w:styleId="MACoverPageHeading">
    <w:name w:val="MA_Cover Page Heading"/>
    <w:basedOn w:val="Normal"/>
    <w:rsid w:val="00AB19B4"/>
    <w:pPr>
      <w:spacing w:before="120" w:after="240"/>
      <w:ind w:right="2835"/>
    </w:pPr>
    <w:rPr>
      <w:rFonts w:eastAsiaTheme="minorEastAsia"/>
      <w:bCs/>
      <w:color w:val="00AEEF"/>
      <w:sz w:val="52"/>
      <w:szCs w:val="40"/>
      <w:lang w:val="en-GB" w:eastAsia="zh-CN"/>
    </w:rPr>
  </w:style>
  <w:style w:type="paragraph" w:customStyle="1" w:styleId="MACoverSubheading">
    <w:name w:val="MA_Cover Subheading"/>
    <w:basedOn w:val="Normal"/>
    <w:next w:val="MAAddress-BodyCopy"/>
    <w:rsid w:val="00AB19B4"/>
    <w:pPr>
      <w:spacing w:after="120"/>
      <w:ind w:right="3402"/>
    </w:pPr>
    <w:rPr>
      <w:color w:val="000000" w:themeColor="text1"/>
    </w:rPr>
  </w:style>
  <w:style w:type="paragraph" w:customStyle="1" w:styleId="MAAddresses">
    <w:name w:val="MA_Addresses"/>
    <w:basedOn w:val="MAAddress-BodyCopy"/>
    <w:rsid w:val="0073224A"/>
    <w:pPr>
      <w:spacing w:before="0" w:after="0"/>
    </w:pPr>
    <w:rPr>
      <w:b w:val="0"/>
      <w:bCs w:val="0"/>
      <w:color w:val="000000" w:themeColor="text1"/>
    </w:rPr>
  </w:style>
  <w:style w:type="character" w:customStyle="1" w:styleId="UnresolvedMention1">
    <w:name w:val="Unresolved Mention1"/>
    <w:basedOn w:val="DefaultParagraphFont"/>
    <w:uiPriority w:val="99"/>
    <w:semiHidden/>
    <w:unhideWhenUsed/>
    <w:rsid w:val="003B49A8"/>
    <w:rPr>
      <w:color w:val="605E5C"/>
      <w:shd w:val="clear" w:color="auto" w:fill="E1DFDD"/>
    </w:rPr>
  </w:style>
  <w:style w:type="character" w:styleId="FollowedHyperlink">
    <w:name w:val="FollowedHyperlink"/>
    <w:basedOn w:val="DefaultParagraphFont"/>
    <w:uiPriority w:val="99"/>
    <w:semiHidden/>
    <w:unhideWhenUsed/>
    <w:rsid w:val="003B49A8"/>
    <w:rPr>
      <w:color w:val="954F72" w:themeColor="followedHyperlink"/>
      <w:u w:val="single"/>
    </w:rPr>
  </w:style>
  <w:style w:type="paragraph" w:styleId="TOC3">
    <w:name w:val="toc 3"/>
    <w:basedOn w:val="Normal"/>
    <w:next w:val="Normal"/>
    <w:autoRedefine/>
    <w:uiPriority w:val="39"/>
    <w:unhideWhenUsed/>
    <w:rsid w:val="00E6540F"/>
    <w:pPr>
      <w:ind w:left="400"/>
    </w:pPr>
    <w:rPr>
      <w:rFonts w:asciiTheme="minorHAnsi" w:hAnsiTheme="minorHAnsi" w:cstheme="minorHAnsi"/>
    </w:rPr>
  </w:style>
  <w:style w:type="table" w:customStyle="1" w:styleId="MALetter-Table">
    <w:name w:val="MA_Letter - Table"/>
    <w:basedOn w:val="TableNormal"/>
    <w:uiPriority w:val="99"/>
    <w:rsid w:val="00056B12"/>
    <w:pPr>
      <w:spacing w:before="120" w:after="120"/>
    </w:pPr>
    <w:tblP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85" w:type="dxa"/>
        <w:bottom w:w="85" w:type="dxa"/>
      </w:tblCellMar>
    </w:tblPr>
    <w:tcPr>
      <w:vAlign w:val="center"/>
    </w:tcPr>
    <w:tblStylePr w:type="firstRow">
      <w:pPr>
        <w:wordWrap/>
        <w:spacing w:beforeLines="0" w:before="0" w:beforeAutospacing="0" w:afterLines="0" w:after="0" w:afterAutospacing="0" w:line="259" w:lineRule="auto"/>
        <w:jc w:val="left"/>
      </w:pPr>
      <w:rPr>
        <w:rFonts w:ascii="Arial" w:hAnsi="Arial"/>
        <w:color w:val="FFFFFF" w:themeColor="background1"/>
        <w:sz w:val="20"/>
      </w:rPr>
      <w:tblPr/>
      <w:tcPr>
        <w:tcBorders>
          <w:insideH w:val="single" w:sz="4" w:space="0" w:color="FFFFFF" w:themeColor="background1"/>
          <w:insideV w:val="single" w:sz="4" w:space="0" w:color="FFFFFF" w:themeColor="background1"/>
        </w:tcBorders>
        <w:shd w:val="clear" w:color="auto" w:fill="00B0F0"/>
      </w:tcPr>
    </w:tblStylePr>
  </w:style>
  <w:style w:type="paragraph" w:styleId="NormalWeb">
    <w:name w:val="Normal (Web)"/>
    <w:basedOn w:val="Normal"/>
    <w:uiPriority w:val="99"/>
    <w:unhideWhenUsed/>
    <w:rsid w:val="00E7006C"/>
    <w:pPr>
      <w:spacing w:before="100" w:beforeAutospacing="1" w:after="100" w:afterAutospacing="1"/>
    </w:pPr>
    <w:rPr>
      <w:rFonts w:eastAsiaTheme="minorEastAsia"/>
    </w:rPr>
  </w:style>
  <w:style w:type="table" w:styleId="MediumGrid3-Accent1">
    <w:name w:val="Medium Grid 3 Accent 1"/>
    <w:basedOn w:val="TableNormal"/>
    <w:uiPriority w:val="69"/>
    <w:rsid w:val="00B754A0"/>
    <w:pPr>
      <w:spacing w:after="0" w:line="240" w:lineRule="atLeast"/>
      <w:jc w:val="both"/>
    </w:pPr>
    <w:rPr>
      <w:rFonts w:ascii="Calibri" w:eastAsiaTheme="minorEastAsia" w:hAnsi="Calibri" w:cstheme="minorBidi"/>
      <w:szCs w:val="24"/>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customStyle="1" w:styleId="MALetter-BodyCopy">
    <w:name w:val="MA_Letter - Body Copy"/>
    <w:link w:val="MALetter-BodyCopyChar"/>
    <w:autoRedefine/>
    <w:rsid w:val="00045B8A"/>
    <w:pPr>
      <w:tabs>
        <w:tab w:val="left" w:pos="567"/>
        <w:tab w:val="left" w:pos="1134"/>
        <w:tab w:val="left" w:pos="1701"/>
        <w:tab w:val="left" w:pos="2268"/>
        <w:tab w:val="right" w:pos="9072"/>
      </w:tabs>
      <w:spacing w:after="0"/>
    </w:pPr>
    <w:rPr>
      <w:rFonts w:eastAsia="Times New Roman"/>
      <w:szCs w:val="20"/>
      <w:lang w:val="en-AU" w:eastAsia="en-AU"/>
    </w:rPr>
  </w:style>
  <w:style w:type="character" w:customStyle="1" w:styleId="MALetter-BodyCopyChar">
    <w:name w:val="MA_Letter - Body Copy Char"/>
    <w:basedOn w:val="DefaultParagraphFont"/>
    <w:link w:val="MALetter-BodyCopy"/>
    <w:rsid w:val="00045B8A"/>
    <w:rPr>
      <w:rFonts w:eastAsia="Times New Roman"/>
      <w:szCs w:val="20"/>
      <w:lang w:val="en-AU" w:eastAsia="en-AU"/>
    </w:rPr>
  </w:style>
  <w:style w:type="paragraph" w:styleId="Revision">
    <w:name w:val="Revision"/>
    <w:hidden/>
    <w:uiPriority w:val="99"/>
    <w:semiHidden/>
    <w:rsid w:val="006F7246"/>
    <w:pPr>
      <w:spacing w:after="0" w:line="240" w:lineRule="auto"/>
    </w:pPr>
    <w:rPr>
      <w:lang w:val="en-AU"/>
    </w:rPr>
  </w:style>
  <w:style w:type="paragraph" w:customStyle="1" w:styleId="Default">
    <w:name w:val="Default"/>
    <w:rsid w:val="00471F03"/>
    <w:pPr>
      <w:autoSpaceDE w:val="0"/>
      <w:autoSpaceDN w:val="0"/>
      <w:adjustRightInd w:val="0"/>
      <w:spacing w:after="0" w:line="240" w:lineRule="auto"/>
    </w:pPr>
    <w:rPr>
      <w:color w:val="000000"/>
      <w:sz w:val="24"/>
      <w:szCs w:val="24"/>
      <w:lang w:val="en-AU"/>
    </w:rPr>
  </w:style>
  <w:style w:type="paragraph" w:styleId="EndnoteText">
    <w:name w:val="endnote text"/>
    <w:basedOn w:val="Normal"/>
    <w:link w:val="EndnoteTextChar"/>
    <w:uiPriority w:val="99"/>
    <w:semiHidden/>
    <w:unhideWhenUsed/>
    <w:rsid w:val="00F00F2E"/>
    <w:rPr>
      <w:sz w:val="20"/>
      <w:szCs w:val="20"/>
    </w:rPr>
  </w:style>
  <w:style w:type="character" w:customStyle="1" w:styleId="EndnoteTextChar">
    <w:name w:val="Endnote Text Char"/>
    <w:basedOn w:val="DefaultParagraphFont"/>
    <w:link w:val="EndnoteText"/>
    <w:uiPriority w:val="99"/>
    <w:semiHidden/>
    <w:rsid w:val="00F00F2E"/>
    <w:rPr>
      <w:rFonts w:ascii="Times New Roman" w:eastAsia="Times New Roman" w:hAnsi="Times New Roman" w:cs="Times New Roman"/>
      <w:szCs w:val="20"/>
      <w:lang w:val="en-AU" w:eastAsia="en-AU"/>
    </w:rPr>
  </w:style>
  <w:style w:type="character" w:styleId="EndnoteReference">
    <w:name w:val="endnote reference"/>
    <w:basedOn w:val="DefaultParagraphFont"/>
    <w:uiPriority w:val="99"/>
    <w:semiHidden/>
    <w:unhideWhenUsed/>
    <w:rsid w:val="00F00F2E"/>
    <w:rPr>
      <w:vertAlign w:val="superscript"/>
    </w:rPr>
  </w:style>
  <w:style w:type="paragraph" w:customStyle="1" w:styleId="Body1">
    <w:name w:val="Body 1"/>
    <w:link w:val="Body1Char"/>
    <w:qFormat/>
    <w:rsid w:val="00B92015"/>
    <w:pPr>
      <w:spacing w:before="140" w:after="180" w:line="240" w:lineRule="auto"/>
      <w:jc w:val="both"/>
    </w:pPr>
    <w:rPr>
      <w:rFonts w:ascii="Montserrat" w:hAnsi="Montserrat"/>
      <w:sz w:val="19"/>
      <w:szCs w:val="20"/>
      <w:lang w:val="en-US"/>
    </w:rPr>
  </w:style>
  <w:style w:type="character" w:customStyle="1" w:styleId="Body1Char">
    <w:name w:val="Body 1 Char"/>
    <w:basedOn w:val="DefaultParagraphFont"/>
    <w:link w:val="Body1"/>
    <w:rsid w:val="00B92015"/>
    <w:rPr>
      <w:rFonts w:ascii="Montserrat" w:hAnsi="Montserrat"/>
      <w:sz w:val="19"/>
      <w:szCs w:val="20"/>
      <w:lang w:val="en-US"/>
    </w:rPr>
  </w:style>
  <w:style w:type="paragraph" w:customStyle="1" w:styleId="subheading1">
    <w:name w:val="subheading 1"/>
    <w:basedOn w:val="Heading2"/>
    <w:link w:val="subheading1Char"/>
    <w:qFormat/>
    <w:rsid w:val="00B92015"/>
    <w:rPr>
      <w:b/>
    </w:rPr>
  </w:style>
  <w:style w:type="paragraph" w:customStyle="1" w:styleId="bulletheading">
    <w:name w:val="bullet heading"/>
    <w:basedOn w:val="Bullet"/>
    <w:link w:val="bulletheadingChar"/>
    <w:qFormat/>
    <w:rsid w:val="006E5412"/>
    <w:rPr>
      <w:rFonts w:ascii="Montserrat SemiBold" w:hAnsi="Montserrat SemiBold"/>
    </w:rPr>
  </w:style>
  <w:style w:type="character" w:customStyle="1" w:styleId="subheading1Char">
    <w:name w:val="subheading 1 Char"/>
    <w:basedOn w:val="Heading2Char"/>
    <w:link w:val="subheading1"/>
    <w:rsid w:val="00B92015"/>
    <w:rPr>
      <w:rFonts w:ascii="Montserrat SemiBold" w:eastAsia="Times New Roman" w:hAnsi="Montserrat SemiBold"/>
      <w:b/>
      <w:iCs/>
      <w:sz w:val="19"/>
      <w:lang w:val="en-AU" w:eastAsia="en-AU"/>
    </w:rPr>
  </w:style>
  <w:style w:type="character" w:customStyle="1" w:styleId="bulletheadingChar">
    <w:name w:val="bullet heading Char"/>
    <w:basedOn w:val="BulletChar"/>
    <w:link w:val="bulletheading"/>
    <w:rsid w:val="006E5412"/>
    <w:rPr>
      <w:rFonts w:ascii="Montserrat SemiBold" w:eastAsia="Times New Roman" w:hAnsi="Montserrat SemiBold"/>
      <w:sz w:val="19"/>
      <w:szCs w:val="20"/>
      <w:lang w:val="en-US" w:eastAsia="en-AU"/>
    </w:rPr>
  </w:style>
  <w:style w:type="numbering" w:customStyle="1" w:styleId="CurrentList1">
    <w:name w:val="Current List1"/>
    <w:uiPriority w:val="99"/>
    <w:rsid w:val="006F40A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426">
      <w:bodyDiv w:val="1"/>
      <w:marLeft w:val="0"/>
      <w:marRight w:val="0"/>
      <w:marTop w:val="0"/>
      <w:marBottom w:val="0"/>
      <w:divBdr>
        <w:top w:val="none" w:sz="0" w:space="0" w:color="auto"/>
        <w:left w:val="none" w:sz="0" w:space="0" w:color="auto"/>
        <w:bottom w:val="none" w:sz="0" w:space="0" w:color="auto"/>
        <w:right w:val="none" w:sz="0" w:space="0" w:color="auto"/>
      </w:divBdr>
    </w:div>
    <w:div w:id="35735823">
      <w:bodyDiv w:val="1"/>
      <w:marLeft w:val="0"/>
      <w:marRight w:val="0"/>
      <w:marTop w:val="0"/>
      <w:marBottom w:val="0"/>
      <w:divBdr>
        <w:top w:val="none" w:sz="0" w:space="0" w:color="auto"/>
        <w:left w:val="none" w:sz="0" w:space="0" w:color="auto"/>
        <w:bottom w:val="none" w:sz="0" w:space="0" w:color="auto"/>
        <w:right w:val="none" w:sz="0" w:space="0" w:color="auto"/>
      </w:divBdr>
    </w:div>
    <w:div w:id="38552533">
      <w:bodyDiv w:val="1"/>
      <w:marLeft w:val="0"/>
      <w:marRight w:val="0"/>
      <w:marTop w:val="0"/>
      <w:marBottom w:val="0"/>
      <w:divBdr>
        <w:top w:val="none" w:sz="0" w:space="0" w:color="auto"/>
        <w:left w:val="none" w:sz="0" w:space="0" w:color="auto"/>
        <w:bottom w:val="none" w:sz="0" w:space="0" w:color="auto"/>
        <w:right w:val="none" w:sz="0" w:space="0" w:color="auto"/>
      </w:divBdr>
    </w:div>
    <w:div w:id="47150803">
      <w:bodyDiv w:val="1"/>
      <w:marLeft w:val="0"/>
      <w:marRight w:val="0"/>
      <w:marTop w:val="0"/>
      <w:marBottom w:val="0"/>
      <w:divBdr>
        <w:top w:val="none" w:sz="0" w:space="0" w:color="auto"/>
        <w:left w:val="none" w:sz="0" w:space="0" w:color="auto"/>
        <w:bottom w:val="none" w:sz="0" w:space="0" w:color="auto"/>
        <w:right w:val="none" w:sz="0" w:space="0" w:color="auto"/>
      </w:divBdr>
    </w:div>
    <w:div w:id="134420341">
      <w:bodyDiv w:val="1"/>
      <w:marLeft w:val="0"/>
      <w:marRight w:val="0"/>
      <w:marTop w:val="0"/>
      <w:marBottom w:val="0"/>
      <w:divBdr>
        <w:top w:val="none" w:sz="0" w:space="0" w:color="auto"/>
        <w:left w:val="none" w:sz="0" w:space="0" w:color="auto"/>
        <w:bottom w:val="none" w:sz="0" w:space="0" w:color="auto"/>
        <w:right w:val="none" w:sz="0" w:space="0" w:color="auto"/>
      </w:divBdr>
    </w:div>
    <w:div w:id="136846369">
      <w:bodyDiv w:val="1"/>
      <w:marLeft w:val="0"/>
      <w:marRight w:val="0"/>
      <w:marTop w:val="0"/>
      <w:marBottom w:val="0"/>
      <w:divBdr>
        <w:top w:val="none" w:sz="0" w:space="0" w:color="auto"/>
        <w:left w:val="none" w:sz="0" w:space="0" w:color="auto"/>
        <w:bottom w:val="none" w:sz="0" w:space="0" w:color="auto"/>
        <w:right w:val="none" w:sz="0" w:space="0" w:color="auto"/>
      </w:divBdr>
    </w:div>
    <w:div w:id="139080060">
      <w:bodyDiv w:val="1"/>
      <w:marLeft w:val="0"/>
      <w:marRight w:val="0"/>
      <w:marTop w:val="0"/>
      <w:marBottom w:val="0"/>
      <w:divBdr>
        <w:top w:val="none" w:sz="0" w:space="0" w:color="auto"/>
        <w:left w:val="none" w:sz="0" w:space="0" w:color="auto"/>
        <w:bottom w:val="none" w:sz="0" w:space="0" w:color="auto"/>
        <w:right w:val="none" w:sz="0" w:space="0" w:color="auto"/>
      </w:divBdr>
    </w:div>
    <w:div w:id="146479957">
      <w:bodyDiv w:val="1"/>
      <w:marLeft w:val="0"/>
      <w:marRight w:val="0"/>
      <w:marTop w:val="0"/>
      <w:marBottom w:val="0"/>
      <w:divBdr>
        <w:top w:val="none" w:sz="0" w:space="0" w:color="auto"/>
        <w:left w:val="none" w:sz="0" w:space="0" w:color="auto"/>
        <w:bottom w:val="none" w:sz="0" w:space="0" w:color="auto"/>
        <w:right w:val="none" w:sz="0" w:space="0" w:color="auto"/>
      </w:divBdr>
    </w:div>
    <w:div w:id="196234963">
      <w:bodyDiv w:val="1"/>
      <w:marLeft w:val="0"/>
      <w:marRight w:val="0"/>
      <w:marTop w:val="0"/>
      <w:marBottom w:val="0"/>
      <w:divBdr>
        <w:top w:val="none" w:sz="0" w:space="0" w:color="auto"/>
        <w:left w:val="none" w:sz="0" w:space="0" w:color="auto"/>
        <w:bottom w:val="none" w:sz="0" w:space="0" w:color="auto"/>
        <w:right w:val="none" w:sz="0" w:space="0" w:color="auto"/>
      </w:divBdr>
    </w:div>
    <w:div w:id="238105031">
      <w:bodyDiv w:val="1"/>
      <w:marLeft w:val="0"/>
      <w:marRight w:val="0"/>
      <w:marTop w:val="0"/>
      <w:marBottom w:val="0"/>
      <w:divBdr>
        <w:top w:val="none" w:sz="0" w:space="0" w:color="auto"/>
        <w:left w:val="none" w:sz="0" w:space="0" w:color="auto"/>
        <w:bottom w:val="none" w:sz="0" w:space="0" w:color="auto"/>
        <w:right w:val="none" w:sz="0" w:space="0" w:color="auto"/>
      </w:divBdr>
    </w:div>
    <w:div w:id="239023333">
      <w:bodyDiv w:val="1"/>
      <w:marLeft w:val="0"/>
      <w:marRight w:val="0"/>
      <w:marTop w:val="0"/>
      <w:marBottom w:val="0"/>
      <w:divBdr>
        <w:top w:val="none" w:sz="0" w:space="0" w:color="auto"/>
        <w:left w:val="none" w:sz="0" w:space="0" w:color="auto"/>
        <w:bottom w:val="none" w:sz="0" w:space="0" w:color="auto"/>
        <w:right w:val="none" w:sz="0" w:space="0" w:color="auto"/>
      </w:divBdr>
    </w:div>
    <w:div w:id="271402888">
      <w:bodyDiv w:val="1"/>
      <w:marLeft w:val="0"/>
      <w:marRight w:val="0"/>
      <w:marTop w:val="0"/>
      <w:marBottom w:val="0"/>
      <w:divBdr>
        <w:top w:val="none" w:sz="0" w:space="0" w:color="auto"/>
        <w:left w:val="none" w:sz="0" w:space="0" w:color="auto"/>
        <w:bottom w:val="none" w:sz="0" w:space="0" w:color="auto"/>
        <w:right w:val="none" w:sz="0" w:space="0" w:color="auto"/>
      </w:divBdr>
    </w:div>
    <w:div w:id="274873297">
      <w:bodyDiv w:val="1"/>
      <w:marLeft w:val="0"/>
      <w:marRight w:val="0"/>
      <w:marTop w:val="0"/>
      <w:marBottom w:val="0"/>
      <w:divBdr>
        <w:top w:val="none" w:sz="0" w:space="0" w:color="auto"/>
        <w:left w:val="none" w:sz="0" w:space="0" w:color="auto"/>
        <w:bottom w:val="none" w:sz="0" w:space="0" w:color="auto"/>
        <w:right w:val="none" w:sz="0" w:space="0" w:color="auto"/>
      </w:divBdr>
    </w:div>
    <w:div w:id="280186449">
      <w:bodyDiv w:val="1"/>
      <w:marLeft w:val="0"/>
      <w:marRight w:val="0"/>
      <w:marTop w:val="0"/>
      <w:marBottom w:val="0"/>
      <w:divBdr>
        <w:top w:val="none" w:sz="0" w:space="0" w:color="auto"/>
        <w:left w:val="none" w:sz="0" w:space="0" w:color="auto"/>
        <w:bottom w:val="none" w:sz="0" w:space="0" w:color="auto"/>
        <w:right w:val="none" w:sz="0" w:space="0" w:color="auto"/>
      </w:divBdr>
    </w:div>
    <w:div w:id="294414856">
      <w:bodyDiv w:val="1"/>
      <w:marLeft w:val="0"/>
      <w:marRight w:val="0"/>
      <w:marTop w:val="0"/>
      <w:marBottom w:val="0"/>
      <w:divBdr>
        <w:top w:val="none" w:sz="0" w:space="0" w:color="auto"/>
        <w:left w:val="none" w:sz="0" w:space="0" w:color="auto"/>
        <w:bottom w:val="none" w:sz="0" w:space="0" w:color="auto"/>
        <w:right w:val="none" w:sz="0" w:space="0" w:color="auto"/>
      </w:divBdr>
    </w:div>
    <w:div w:id="305665865">
      <w:bodyDiv w:val="1"/>
      <w:marLeft w:val="0"/>
      <w:marRight w:val="0"/>
      <w:marTop w:val="0"/>
      <w:marBottom w:val="0"/>
      <w:divBdr>
        <w:top w:val="none" w:sz="0" w:space="0" w:color="auto"/>
        <w:left w:val="none" w:sz="0" w:space="0" w:color="auto"/>
        <w:bottom w:val="none" w:sz="0" w:space="0" w:color="auto"/>
        <w:right w:val="none" w:sz="0" w:space="0" w:color="auto"/>
      </w:divBdr>
    </w:div>
    <w:div w:id="307632128">
      <w:bodyDiv w:val="1"/>
      <w:marLeft w:val="0"/>
      <w:marRight w:val="0"/>
      <w:marTop w:val="0"/>
      <w:marBottom w:val="0"/>
      <w:divBdr>
        <w:top w:val="none" w:sz="0" w:space="0" w:color="auto"/>
        <w:left w:val="none" w:sz="0" w:space="0" w:color="auto"/>
        <w:bottom w:val="none" w:sz="0" w:space="0" w:color="auto"/>
        <w:right w:val="none" w:sz="0" w:space="0" w:color="auto"/>
      </w:divBdr>
    </w:div>
    <w:div w:id="316030249">
      <w:bodyDiv w:val="1"/>
      <w:marLeft w:val="0"/>
      <w:marRight w:val="0"/>
      <w:marTop w:val="0"/>
      <w:marBottom w:val="0"/>
      <w:divBdr>
        <w:top w:val="none" w:sz="0" w:space="0" w:color="auto"/>
        <w:left w:val="none" w:sz="0" w:space="0" w:color="auto"/>
        <w:bottom w:val="none" w:sz="0" w:space="0" w:color="auto"/>
        <w:right w:val="none" w:sz="0" w:space="0" w:color="auto"/>
      </w:divBdr>
    </w:div>
    <w:div w:id="321474227">
      <w:bodyDiv w:val="1"/>
      <w:marLeft w:val="0"/>
      <w:marRight w:val="0"/>
      <w:marTop w:val="0"/>
      <w:marBottom w:val="0"/>
      <w:divBdr>
        <w:top w:val="none" w:sz="0" w:space="0" w:color="auto"/>
        <w:left w:val="none" w:sz="0" w:space="0" w:color="auto"/>
        <w:bottom w:val="none" w:sz="0" w:space="0" w:color="auto"/>
        <w:right w:val="none" w:sz="0" w:space="0" w:color="auto"/>
      </w:divBdr>
    </w:div>
    <w:div w:id="325744603">
      <w:bodyDiv w:val="1"/>
      <w:marLeft w:val="0"/>
      <w:marRight w:val="0"/>
      <w:marTop w:val="0"/>
      <w:marBottom w:val="0"/>
      <w:divBdr>
        <w:top w:val="none" w:sz="0" w:space="0" w:color="auto"/>
        <w:left w:val="none" w:sz="0" w:space="0" w:color="auto"/>
        <w:bottom w:val="none" w:sz="0" w:space="0" w:color="auto"/>
        <w:right w:val="none" w:sz="0" w:space="0" w:color="auto"/>
      </w:divBdr>
    </w:div>
    <w:div w:id="330330509">
      <w:bodyDiv w:val="1"/>
      <w:marLeft w:val="0"/>
      <w:marRight w:val="0"/>
      <w:marTop w:val="0"/>
      <w:marBottom w:val="0"/>
      <w:divBdr>
        <w:top w:val="none" w:sz="0" w:space="0" w:color="auto"/>
        <w:left w:val="none" w:sz="0" w:space="0" w:color="auto"/>
        <w:bottom w:val="none" w:sz="0" w:space="0" w:color="auto"/>
        <w:right w:val="none" w:sz="0" w:space="0" w:color="auto"/>
      </w:divBdr>
    </w:div>
    <w:div w:id="349110921">
      <w:bodyDiv w:val="1"/>
      <w:marLeft w:val="0"/>
      <w:marRight w:val="0"/>
      <w:marTop w:val="0"/>
      <w:marBottom w:val="0"/>
      <w:divBdr>
        <w:top w:val="none" w:sz="0" w:space="0" w:color="auto"/>
        <w:left w:val="none" w:sz="0" w:space="0" w:color="auto"/>
        <w:bottom w:val="none" w:sz="0" w:space="0" w:color="auto"/>
        <w:right w:val="none" w:sz="0" w:space="0" w:color="auto"/>
      </w:divBdr>
    </w:div>
    <w:div w:id="358632194">
      <w:bodyDiv w:val="1"/>
      <w:marLeft w:val="0"/>
      <w:marRight w:val="0"/>
      <w:marTop w:val="0"/>
      <w:marBottom w:val="0"/>
      <w:divBdr>
        <w:top w:val="none" w:sz="0" w:space="0" w:color="auto"/>
        <w:left w:val="none" w:sz="0" w:space="0" w:color="auto"/>
        <w:bottom w:val="none" w:sz="0" w:space="0" w:color="auto"/>
        <w:right w:val="none" w:sz="0" w:space="0" w:color="auto"/>
      </w:divBdr>
    </w:div>
    <w:div w:id="369494086">
      <w:bodyDiv w:val="1"/>
      <w:marLeft w:val="0"/>
      <w:marRight w:val="0"/>
      <w:marTop w:val="0"/>
      <w:marBottom w:val="0"/>
      <w:divBdr>
        <w:top w:val="none" w:sz="0" w:space="0" w:color="auto"/>
        <w:left w:val="none" w:sz="0" w:space="0" w:color="auto"/>
        <w:bottom w:val="none" w:sz="0" w:space="0" w:color="auto"/>
        <w:right w:val="none" w:sz="0" w:space="0" w:color="auto"/>
      </w:divBdr>
    </w:div>
    <w:div w:id="386496681">
      <w:bodyDiv w:val="1"/>
      <w:marLeft w:val="0"/>
      <w:marRight w:val="0"/>
      <w:marTop w:val="0"/>
      <w:marBottom w:val="0"/>
      <w:divBdr>
        <w:top w:val="none" w:sz="0" w:space="0" w:color="auto"/>
        <w:left w:val="none" w:sz="0" w:space="0" w:color="auto"/>
        <w:bottom w:val="none" w:sz="0" w:space="0" w:color="auto"/>
        <w:right w:val="none" w:sz="0" w:space="0" w:color="auto"/>
      </w:divBdr>
    </w:div>
    <w:div w:id="391974802">
      <w:bodyDiv w:val="1"/>
      <w:marLeft w:val="0"/>
      <w:marRight w:val="0"/>
      <w:marTop w:val="0"/>
      <w:marBottom w:val="0"/>
      <w:divBdr>
        <w:top w:val="none" w:sz="0" w:space="0" w:color="auto"/>
        <w:left w:val="none" w:sz="0" w:space="0" w:color="auto"/>
        <w:bottom w:val="none" w:sz="0" w:space="0" w:color="auto"/>
        <w:right w:val="none" w:sz="0" w:space="0" w:color="auto"/>
      </w:divBdr>
    </w:div>
    <w:div w:id="404956685">
      <w:bodyDiv w:val="1"/>
      <w:marLeft w:val="0"/>
      <w:marRight w:val="0"/>
      <w:marTop w:val="0"/>
      <w:marBottom w:val="0"/>
      <w:divBdr>
        <w:top w:val="none" w:sz="0" w:space="0" w:color="auto"/>
        <w:left w:val="none" w:sz="0" w:space="0" w:color="auto"/>
        <w:bottom w:val="none" w:sz="0" w:space="0" w:color="auto"/>
        <w:right w:val="none" w:sz="0" w:space="0" w:color="auto"/>
      </w:divBdr>
    </w:div>
    <w:div w:id="429740650">
      <w:bodyDiv w:val="1"/>
      <w:marLeft w:val="0"/>
      <w:marRight w:val="0"/>
      <w:marTop w:val="0"/>
      <w:marBottom w:val="0"/>
      <w:divBdr>
        <w:top w:val="none" w:sz="0" w:space="0" w:color="auto"/>
        <w:left w:val="none" w:sz="0" w:space="0" w:color="auto"/>
        <w:bottom w:val="none" w:sz="0" w:space="0" w:color="auto"/>
        <w:right w:val="none" w:sz="0" w:space="0" w:color="auto"/>
      </w:divBdr>
    </w:div>
    <w:div w:id="433285049">
      <w:bodyDiv w:val="1"/>
      <w:marLeft w:val="0"/>
      <w:marRight w:val="0"/>
      <w:marTop w:val="0"/>
      <w:marBottom w:val="0"/>
      <w:divBdr>
        <w:top w:val="none" w:sz="0" w:space="0" w:color="auto"/>
        <w:left w:val="none" w:sz="0" w:space="0" w:color="auto"/>
        <w:bottom w:val="none" w:sz="0" w:space="0" w:color="auto"/>
        <w:right w:val="none" w:sz="0" w:space="0" w:color="auto"/>
      </w:divBdr>
    </w:div>
    <w:div w:id="449785319">
      <w:bodyDiv w:val="1"/>
      <w:marLeft w:val="0"/>
      <w:marRight w:val="0"/>
      <w:marTop w:val="0"/>
      <w:marBottom w:val="0"/>
      <w:divBdr>
        <w:top w:val="none" w:sz="0" w:space="0" w:color="auto"/>
        <w:left w:val="none" w:sz="0" w:space="0" w:color="auto"/>
        <w:bottom w:val="none" w:sz="0" w:space="0" w:color="auto"/>
        <w:right w:val="none" w:sz="0" w:space="0" w:color="auto"/>
      </w:divBdr>
    </w:div>
    <w:div w:id="464586573">
      <w:bodyDiv w:val="1"/>
      <w:marLeft w:val="0"/>
      <w:marRight w:val="0"/>
      <w:marTop w:val="0"/>
      <w:marBottom w:val="0"/>
      <w:divBdr>
        <w:top w:val="none" w:sz="0" w:space="0" w:color="auto"/>
        <w:left w:val="none" w:sz="0" w:space="0" w:color="auto"/>
        <w:bottom w:val="none" w:sz="0" w:space="0" w:color="auto"/>
        <w:right w:val="none" w:sz="0" w:space="0" w:color="auto"/>
      </w:divBdr>
    </w:div>
    <w:div w:id="475152124">
      <w:bodyDiv w:val="1"/>
      <w:marLeft w:val="0"/>
      <w:marRight w:val="0"/>
      <w:marTop w:val="0"/>
      <w:marBottom w:val="0"/>
      <w:divBdr>
        <w:top w:val="none" w:sz="0" w:space="0" w:color="auto"/>
        <w:left w:val="none" w:sz="0" w:space="0" w:color="auto"/>
        <w:bottom w:val="none" w:sz="0" w:space="0" w:color="auto"/>
        <w:right w:val="none" w:sz="0" w:space="0" w:color="auto"/>
      </w:divBdr>
    </w:div>
    <w:div w:id="526679679">
      <w:bodyDiv w:val="1"/>
      <w:marLeft w:val="0"/>
      <w:marRight w:val="0"/>
      <w:marTop w:val="0"/>
      <w:marBottom w:val="0"/>
      <w:divBdr>
        <w:top w:val="none" w:sz="0" w:space="0" w:color="auto"/>
        <w:left w:val="none" w:sz="0" w:space="0" w:color="auto"/>
        <w:bottom w:val="none" w:sz="0" w:space="0" w:color="auto"/>
        <w:right w:val="none" w:sz="0" w:space="0" w:color="auto"/>
      </w:divBdr>
    </w:div>
    <w:div w:id="550456939">
      <w:bodyDiv w:val="1"/>
      <w:marLeft w:val="0"/>
      <w:marRight w:val="0"/>
      <w:marTop w:val="0"/>
      <w:marBottom w:val="0"/>
      <w:divBdr>
        <w:top w:val="none" w:sz="0" w:space="0" w:color="auto"/>
        <w:left w:val="none" w:sz="0" w:space="0" w:color="auto"/>
        <w:bottom w:val="none" w:sz="0" w:space="0" w:color="auto"/>
        <w:right w:val="none" w:sz="0" w:space="0" w:color="auto"/>
      </w:divBdr>
    </w:div>
    <w:div w:id="552623350">
      <w:bodyDiv w:val="1"/>
      <w:marLeft w:val="0"/>
      <w:marRight w:val="0"/>
      <w:marTop w:val="0"/>
      <w:marBottom w:val="0"/>
      <w:divBdr>
        <w:top w:val="none" w:sz="0" w:space="0" w:color="auto"/>
        <w:left w:val="none" w:sz="0" w:space="0" w:color="auto"/>
        <w:bottom w:val="none" w:sz="0" w:space="0" w:color="auto"/>
        <w:right w:val="none" w:sz="0" w:space="0" w:color="auto"/>
      </w:divBdr>
    </w:div>
    <w:div w:id="553548098">
      <w:bodyDiv w:val="1"/>
      <w:marLeft w:val="0"/>
      <w:marRight w:val="0"/>
      <w:marTop w:val="0"/>
      <w:marBottom w:val="0"/>
      <w:divBdr>
        <w:top w:val="none" w:sz="0" w:space="0" w:color="auto"/>
        <w:left w:val="none" w:sz="0" w:space="0" w:color="auto"/>
        <w:bottom w:val="none" w:sz="0" w:space="0" w:color="auto"/>
        <w:right w:val="none" w:sz="0" w:space="0" w:color="auto"/>
      </w:divBdr>
    </w:div>
    <w:div w:id="559365500">
      <w:bodyDiv w:val="1"/>
      <w:marLeft w:val="0"/>
      <w:marRight w:val="0"/>
      <w:marTop w:val="0"/>
      <w:marBottom w:val="0"/>
      <w:divBdr>
        <w:top w:val="none" w:sz="0" w:space="0" w:color="auto"/>
        <w:left w:val="none" w:sz="0" w:space="0" w:color="auto"/>
        <w:bottom w:val="none" w:sz="0" w:space="0" w:color="auto"/>
        <w:right w:val="none" w:sz="0" w:space="0" w:color="auto"/>
      </w:divBdr>
    </w:div>
    <w:div w:id="560288366">
      <w:bodyDiv w:val="1"/>
      <w:marLeft w:val="0"/>
      <w:marRight w:val="0"/>
      <w:marTop w:val="0"/>
      <w:marBottom w:val="0"/>
      <w:divBdr>
        <w:top w:val="none" w:sz="0" w:space="0" w:color="auto"/>
        <w:left w:val="none" w:sz="0" w:space="0" w:color="auto"/>
        <w:bottom w:val="none" w:sz="0" w:space="0" w:color="auto"/>
        <w:right w:val="none" w:sz="0" w:space="0" w:color="auto"/>
      </w:divBdr>
    </w:div>
    <w:div w:id="571696207">
      <w:bodyDiv w:val="1"/>
      <w:marLeft w:val="0"/>
      <w:marRight w:val="0"/>
      <w:marTop w:val="0"/>
      <w:marBottom w:val="0"/>
      <w:divBdr>
        <w:top w:val="none" w:sz="0" w:space="0" w:color="auto"/>
        <w:left w:val="none" w:sz="0" w:space="0" w:color="auto"/>
        <w:bottom w:val="none" w:sz="0" w:space="0" w:color="auto"/>
        <w:right w:val="none" w:sz="0" w:space="0" w:color="auto"/>
      </w:divBdr>
    </w:div>
    <w:div w:id="576669337">
      <w:bodyDiv w:val="1"/>
      <w:marLeft w:val="0"/>
      <w:marRight w:val="0"/>
      <w:marTop w:val="0"/>
      <w:marBottom w:val="0"/>
      <w:divBdr>
        <w:top w:val="none" w:sz="0" w:space="0" w:color="auto"/>
        <w:left w:val="none" w:sz="0" w:space="0" w:color="auto"/>
        <w:bottom w:val="none" w:sz="0" w:space="0" w:color="auto"/>
        <w:right w:val="none" w:sz="0" w:space="0" w:color="auto"/>
      </w:divBdr>
    </w:div>
    <w:div w:id="612398980">
      <w:bodyDiv w:val="1"/>
      <w:marLeft w:val="0"/>
      <w:marRight w:val="0"/>
      <w:marTop w:val="0"/>
      <w:marBottom w:val="0"/>
      <w:divBdr>
        <w:top w:val="none" w:sz="0" w:space="0" w:color="auto"/>
        <w:left w:val="none" w:sz="0" w:space="0" w:color="auto"/>
        <w:bottom w:val="none" w:sz="0" w:space="0" w:color="auto"/>
        <w:right w:val="none" w:sz="0" w:space="0" w:color="auto"/>
      </w:divBdr>
    </w:div>
    <w:div w:id="616253857">
      <w:bodyDiv w:val="1"/>
      <w:marLeft w:val="0"/>
      <w:marRight w:val="0"/>
      <w:marTop w:val="0"/>
      <w:marBottom w:val="0"/>
      <w:divBdr>
        <w:top w:val="none" w:sz="0" w:space="0" w:color="auto"/>
        <w:left w:val="none" w:sz="0" w:space="0" w:color="auto"/>
        <w:bottom w:val="none" w:sz="0" w:space="0" w:color="auto"/>
        <w:right w:val="none" w:sz="0" w:space="0" w:color="auto"/>
      </w:divBdr>
    </w:div>
    <w:div w:id="635333375">
      <w:bodyDiv w:val="1"/>
      <w:marLeft w:val="0"/>
      <w:marRight w:val="0"/>
      <w:marTop w:val="0"/>
      <w:marBottom w:val="0"/>
      <w:divBdr>
        <w:top w:val="none" w:sz="0" w:space="0" w:color="auto"/>
        <w:left w:val="none" w:sz="0" w:space="0" w:color="auto"/>
        <w:bottom w:val="none" w:sz="0" w:space="0" w:color="auto"/>
        <w:right w:val="none" w:sz="0" w:space="0" w:color="auto"/>
      </w:divBdr>
    </w:div>
    <w:div w:id="667950150">
      <w:bodyDiv w:val="1"/>
      <w:marLeft w:val="0"/>
      <w:marRight w:val="0"/>
      <w:marTop w:val="0"/>
      <w:marBottom w:val="0"/>
      <w:divBdr>
        <w:top w:val="none" w:sz="0" w:space="0" w:color="auto"/>
        <w:left w:val="none" w:sz="0" w:space="0" w:color="auto"/>
        <w:bottom w:val="none" w:sz="0" w:space="0" w:color="auto"/>
        <w:right w:val="none" w:sz="0" w:space="0" w:color="auto"/>
      </w:divBdr>
    </w:div>
    <w:div w:id="669910398">
      <w:bodyDiv w:val="1"/>
      <w:marLeft w:val="0"/>
      <w:marRight w:val="0"/>
      <w:marTop w:val="0"/>
      <w:marBottom w:val="0"/>
      <w:divBdr>
        <w:top w:val="none" w:sz="0" w:space="0" w:color="auto"/>
        <w:left w:val="none" w:sz="0" w:space="0" w:color="auto"/>
        <w:bottom w:val="none" w:sz="0" w:space="0" w:color="auto"/>
        <w:right w:val="none" w:sz="0" w:space="0" w:color="auto"/>
      </w:divBdr>
    </w:div>
    <w:div w:id="695274702">
      <w:bodyDiv w:val="1"/>
      <w:marLeft w:val="0"/>
      <w:marRight w:val="0"/>
      <w:marTop w:val="0"/>
      <w:marBottom w:val="0"/>
      <w:divBdr>
        <w:top w:val="none" w:sz="0" w:space="0" w:color="auto"/>
        <w:left w:val="none" w:sz="0" w:space="0" w:color="auto"/>
        <w:bottom w:val="none" w:sz="0" w:space="0" w:color="auto"/>
        <w:right w:val="none" w:sz="0" w:space="0" w:color="auto"/>
      </w:divBdr>
    </w:div>
    <w:div w:id="695732437">
      <w:bodyDiv w:val="1"/>
      <w:marLeft w:val="0"/>
      <w:marRight w:val="0"/>
      <w:marTop w:val="0"/>
      <w:marBottom w:val="0"/>
      <w:divBdr>
        <w:top w:val="none" w:sz="0" w:space="0" w:color="auto"/>
        <w:left w:val="none" w:sz="0" w:space="0" w:color="auto"/>
        <w:bottom w:val="none" w:sz="0" w:space="0" w:color="auto"/>
        <w:right w:val="none" w:sz="0" w:space="0" w:color="auto"/>
      </w:divBdr>
    </w:div>
    <w:div w:id="703942208">
      <w:bodyDiv w:val="1"/>
      <w:marLeft w:val="0"/>
      <w:marRight w:val="0"/>
      <w:marTop w:val="0"/>
      <w:marBottom w:val="0"/>
      <w:divBdr>
        <w:top w:val="none" w:sz="0" w:space="0" w:color="auto"/>
        <w:left w:val="none" w:sz="0" w:space="0" w:color="auto"/>
        <w:bottom w:val="none" w:sz="0" w:space="0" w:color="auto"/>
        <w:right w:val="none" w:sz="0" w:space="0" w:color="auto"/>
      </w:divBdr>
    </w:div>
    <w:div w:id="731581903">
      <w:bodyDiv w:val="1"/>
      <w:marLeft w:val="0"/>
      <w:marRight w:val="0"/>
      <w:marTop w:val="0"/>
      <w:marBottom w:val="0"/>
      <w:divBdr>
        <w:top w:val="none" w:sz="0" w:space="0" w:color="auto"/>
        <w:left w:val="none" w:sz="0" w:space="0" w:color="auto"/>
        <w:bottom w:val="none" w:sz="0" w:space="0" w:color="auto"/>
        <w:right w:val="none" w:sz="0" w:space="0" w:color="auto"/>
      </w:divBdr>
    </w:div>
    <w:div w:id="746921064">
      <w:bodyDiv w:val="1"/>
      <w:marLeft w:val="0"/>
      <w:marRight w:val="0"/>
      <w:marTop w:val="0"/>
      <w:marBottom w:val="0"/>
      <w:divBdr>
        <w:top w:val="none" w:sz="0" w:space="0" w:color="auto"/>
        <w:left w:val="none" w:sz="0" w:space="0" w:color="auto"/>
        <w:bottom w:val="none" w:sz="0" w:space="0" w:color="auto"/>
        <w:right w:val="none" w:sz="0" w:space="0" w:color="auto"/>
      </w:divBdr>
    </w:div>
    <w:div w:id="748045440">
      <w:bodyDiv w:val="1"/>
      <w:marLeft w:val="0"/>
      <w:marRight w:val="0"/>
      <w:marTop w:val="0"/>
      <w:marBottom w:val="0"/>
      <w:divBdr>
        <w:top w:val="none" w:sz="0" w:space="0" w:color="auto"/>
        <w:left w:val="none" w:sz="0" w:space="0" w:color="auto"/>
        <w:bottom w:val="none" w:sz="0" w:space="0" w:color="auto"/>
        <w:right w:val="none" w:sz="0" w:space="0" w:color="auto"/>
      </w:divBdr>
    </w:div>
    <w:div w:id="749158358">
      <w:bodyDiv w:val="1"/>
      <w:marLeft w:val="0"/>
      <w:marRight w:val="0"/>
      <w:marTop w:val="0"/>
      <w:marBottom w:val="0"/>
      <w:divBdr>
        <w:top w:val="none" w:sz="0" w:space="0" w:color="auto"/>
        <w:left w:val="none" w:sz="0" w:space="0" w:color="auto"/>
        <w:bottom w:val="none" w:sz="0" w:space="0" w:color="auto"/>
        <w:right w:val="none" w:sz="0" w:space="0" w:color="auto"/>
      </w:divBdr>
    </w:div>
    <w:div w:id="754126697">
      <w:bodyDiv w:val="1"/>
      <w:marLeft w:val="0"/>
      <w:marRight w:val="0"/>
      <w:marTop w:val="0"/>
      <w:marBottom w:val="0"/>
      <w:divBdr>
        <w:top w:val="none" w:sz="0" w:space="0" w:color="auto"/>
        <w:left w:val="none" w:sz="0" w:space="0" w:color="auto"/>
        <w:bottom w:val="none" w:sz="0" w:space="0" w:color="auto"/>
        <w:right w:val="none" w:sz="0" w:space="0" w:color="auto"/>
      </w:divBdr>
    </w:div>
    <w:div w:id="792286645">
      <w:bodyDiv w:val="1"/>
      <w:marLeft w:val="0"/>
      <w:marRight w:val="0"/>
      <w:marTop w:val="0"/>
      <w:marBottom w:val="0"/>
      <w:divBdr>
        <w:top w:val="none" w:sz="0" w:space="0" w:color="auto"/>
        <w:left w:val="none" w:sz="0" w:space="0" w:color="auto"/>
        <w:bottom w:val="none" w:sz="0" w:space="0" w:color="auto"/>
        <w:right w:val="none" w:sz="0" w:space="0" w:color="auto"/>
      </w:divBdr>
    </w:div>
    <w:div w:id="793207970">
      <w:bodyDiv w:val="1"/>
      <w:marLeft w:val="0"/>
      <w:marRight w:val="0"/>
      <w:marTop w:val="0"/>
      <w:marBottom w:val="0"/>
      <w:divBdr>
        <w:top w:val="none" w:sz="0" w:space="0" w:color="auto"/>
        <w:left w:val="none" w:sz="0" w:space="0" w:color="auto"/>
        <w:bottom w:val="none" w:sz="0" w:space="0" w:color="auto"/>
        <w:right w:val="none" w:sz="0" w:space="0" w:color="auto"/>
      </w:divBdr>
    </w:div>
    <w:div w:id="819031917">
      <w:bodyDiv w:val="1"/>
      <w:marLeft w:val="0"/>
      <w:marRight w:val="0"/>
      <w:marTop w:val="0"/>
      <w:marBottom w:val="0"/>
      <w:divBdr>
        <w:top w:val="none" w:sz="0" w:space="0" w:color="auto"/>
        <w:left w:val="none" w:sz="0" w:space="0" w:color="auto"/>
        <w:bottom w:val="none" w:sz="0" w:space="0" w:color="auto"/>
        <w:right w:val="none" w:sz="0" w:space="0" w:color="auto"/>
      </w:divBdr>
    </w:div>
    <w:div w:id="828982473">
      <w:bodyDiv w:val="1"/>
      <w:marLeft w:val="0"/>
      <w:marRight w:val="0"/>
      <w:marTop w:val="0"/>
      <w:marBottom w:val="0"/>
      <w:divBdr>
        <w:top w:val="none" w:sz="0" w:space="0" w:color="auto"/>
        <w:left w:val="none" w:sz="0" w:space="0" w:color="auto"/>
        <w:bottom w:val="none" w:sz="0" w:space="0" w:color="auto"/>
        <w:right w:val="none" w:sz="0" w:space="0" w:color="auto"/>
      </w:divBdr>
    </w:div>
    <w:div w:id="834339140">
      <w:bodyDiv w:val="1"/>
      <w:marLeft w:val="0"/>
      <w:marRight w:val="0"/>
      <w:marTop w:val="0"/>
      <w:marBottom w:val="0"/>
      <w:divBdr>
        <w:top w:val="none" w:sz="0" w:space="0" w:color="auto"/>
        <w:left w:val="none" w:sz="0" w:space="0" w:color="auto"/>
        <w:bottom w:val="none" w:sz="0" w:space="0" w:color="auto"/>
        <w:right w:val="none" w:sz="0" w:space="0" w:color="auto"/>
      </w:divBdr>
    </w:div>
    <w:div w:id="839001207">
      <w:bodyDiv w:val="1"/>
      <w:marLeft w:val="0"/>
      <w:marRight w:val="0"/>
      <w:marTop w:val="0"/>
      <w:marBottom w:val="0"/>
      <w:divBdr>
        <w:top w:val="none" w:sz="0" w:space="0" w:color="auto"/>
        <w:left w:val="none" w:sz="0" w:space="0" w:color="auto"/>
        <w:bottom w:val="none" w:sz="0" w:space="0" w:color="auto"/>
        <w:right w:val="none" w:sz="0" w:space="0" w:color="auto"/>
      </w:divBdr>
    </w:div>
    <w:div w:id="840588149">
      <w:bodyDiv w:val="1"/>
      <w:marLeft w:val="0"/>
      <w:marRight w:val="0"/>
      <w:marTop w:val="0"/>
      <w:marBottom w:val="0"/>
      <w:divBdr>
        <w:top w:val="none" w:sz="0" w:space="0" w:color="auto"/>
        <w:left w:val="none" w:sz="0" w:space="0" w:color="auto"/>
        <w:bottom w:val="none" w:sz="0" w:space="0" w:color="auto"/>
        <w:right w:val="none" w:sz="0" w:space="0" w:color="auto"/>
      </w:divBdr>
    </w:div>
    <w:div w:id="847334303">
      <w:bodyDiv w:val="1"/>
      <w:marLeft w:val="0"/>
      <w:marRight w:val="0"/>
      <w:marTop w:val="0"/>
      <w:marBottom w:val="0"/>
      <w:divBdr>
        <w:top w:val="none" w:sz="0" w:space="0" w:color="auto"/>
        <w:left w:val="none" w:sz="0" w:space="0" w:color="auto"/>
        <w:bottom w:val="none" w:sz="0" w:space="0" w:color="auto"/>
        <w:right w:val="none" w:sz="0" w:space="0" w:color="auto"/>
      </w:divBdr>
    </w:div>
    <w:div w:id="852718606">
      <w:bodyDiv w:val="1"/>
      <w:marLeft w:val="0"/>
      <w:marRight w:val="0"/>
      <w:marTop w:val="0"/>
      <w:marBottom w:val="0"/>
      <w:divBdr>
        <w:top w:val="none" w:sz="0" w:space="0" w:color="auto"/>
        <w:left w:val="none" w:sz="0" w:space="0" w:color="auto"/>
        <w:bottom w:val="none" w:sz="0" w:space="0" w:color="auto"/>
        <w:right w:val="none" w:sz="0" w:space="0" w:color="auto"/>
      </w:divBdr>
    </w:div>
    <w:div w:id="880285068">
      <w:bodyDiv w:val="1"/>
      <w:marLeft w:val="0"/>
      <w:marRight w:val="0"/>
      <w:marTop w:val="0"/>
      <w:marBottom w:val="0"/>
      <w:divBdr>
        <w:top w:val="none" w:sz="0" w:space="0" w:color="auto"/>
        <w:left w:val="none" w:sz="0" w:space="0" w:color="auto"/>
        <w:bottom w:val="none" w:sz="0" w:space="0" w:color="auto"/>
        <w:right w:val="none" w:sz="0" w:space="0" w:color="auto"/>
      </w:divBdr>
    </w:div>
    <w:div w:id="896086377">
      <w:bodyDiv w:val="1"/>
      <w:marLeft w:val="0"/>
      <w:marRight w:val="0"/>
      <w:marTop w:val="0"/>
      <w:marBottom w:val="0"/>
      <w:divBdr>
        <w:top w:val="none" w:sz="0" w:space="0" w:color="auto"/>
        <w:left w:val="none" w:sz="0" w:space="0" w:color="auto"/>
        <w:bottom w:val="none" w:sz="0" w:space="0" w:color="auto"/>
        <w:right w:val="none" w:sz="0" w:space="0" w:color="auto"/>
      </w:divBdr>
    </w:div>
    <w:div w:id="914507751">
      <w:bodyDiv w:val="1"/>
      <w:marLeft w:val="0"/>
      <w:marRight w:val="0"/>
      <w:marTop w:val="0"/>
      <w:marBottom w:val="0"/>
      <w:divBdr>
        <w:top w:val="none" w:sz="0" w:space="0" w:color="auto"/>
        <w:left w:val="none" w:sz="0" w:space="0" w:color="auto"/>
        <w:bottom w:val="none" w:sz="0" w:space="0" w:color="auto"/>
        <w:right w:val="none" w:sz="0" w:space="0" w:color="auto"/>
      </w:divBdr>
    </w:div>
    <w:div w:id="925772639">
      <w:bodyDiv w:val="1"/>
      <w:marLeft w:val="0"/>
      <w:marRight w:val="0"/>
      <w:marTop w:val="0"/>
      <w:marBottom w:val="0"/>
      <w:divBdr>
        <w:top w:val="none" w:sz="0" w:space="0" w:color="auto"/>
        <w:left w:val="none" w:sz="0" w:space="0" w:color="auto"/>
        <w:bottom w:val="none" w:sz="0" w:space="0" w:color="auto"/>
        <w:right w:val="none" w:sz="0" w:space="0" w:color="auto"/>
      </w:divBdr>
    </w:div>
    <w:div w:id="950278356">
      <w:bodyDiv w:val="1"/>
      <w:marLeft w:val="0"/>
      <w:marRight w:val="0"/>
      <w:marTop w:val="0"/>
      <w:marBottom w:val="0"/>
      <w:divBdr>
        <w:top w:val="none" w:sz="0" w:space="0" w:color="auto"/>
        <w:left w:val="none" w:sz="0" w:space="0" w:color="auto"/>
        <w:bottom w:val="none" w:sz="0" w:space="0" w:color="auto"/>
        <w:right w:val="none" w:sz="0" w:space="0" w:color="auto"/>
      </w:divBdr>
    </w:div>
    <w:div w:id="950626507">
      <w:bodyDiv w:val="1"/>
      <w:marLeft w:val="0"/>
      <w:marRight w:val="0"/>
      <w:marTop w:val="0"/>
      <w:marBottom w:val="0"/>
      <w:divBdr>
        <w:top w:val="none" w:sz="0" w:space="0" w:color="auto"/>
        <w:left w:val="none" w:sz="0" w:space="0" w:color="auto"/>
        <w:bottom w:val="none" w:sz="0" w:space="0" w:color="auto"/>
        <w:right w:val="none" w:sz="0" w:space="0" w:color="auto"/>
      </w:divBdr>
    </w:div>
    <w:div w:id="967978670">
      <w:bodyDiv w:val="1"/>
      <w:marLeft w:val="0"/>
      <w:marRight w:val="0"/>
      <w:marTop w:val="0"/>
      <w:marBottom w:val="0"/>
      <w:divBdr>
        <w:top w:val="none" w:sz="0" w:space="0" w:color="auto"/>
        <w:left w:val="none" w:sz="0" w:space="0" w:color="auto"/>
        <w:bottom w:val="none" w:sz="0" w:space="0" w:color="auto"/>
        <w:right w:val="none" w:sz="0" w:space="0" w:color="auto"/>
      </w:divBdr>
    </w:div>
    <w:div w:id="990063177">
      <w:bodyDiv w:val="1"/>
      <w:marLeft w:val="0"/>
      <w:marRight w:val="0"/>
      <w:marTop w:val="0"/>
      <w:marBottom w:val="0"/>
      <w:divBdr>
        <w:top w:val="none" w:sz="0" w:space="0" w:color="auto"/>
        <w:left w:val="none" w:sz="0" w:space="0" w:color="auto"/>
        <w:bottom w:val="none" w:sz="0" w:space="0" w:color="auto"/>
        <w:right w:val="none" w:sz="0" w:space="0" w:color="auto"/>
      </w:divBdr>
    </w:div>
    <w:div w:id="992097972">
      <w:bodyDiv w:val="1"/>
      <w:marLeft w:val="0"/>
      <w:marRight w:val="0"/>
      <w:marTop w:val="0"/>
      <w:marBottom w:val="0"/>
      <w:divBdr>
        <w:top w:val="none" w:sz="0" w:space="0" w:color="auto"/>
        <w:left w:val="none" w:sz="0" w:space="0" w:color="auto"/>
        <w:bottom w:val="none" w:sz="0" w:space="0" w:color="auto"/>
        <w:right w:val="none" w:sz="0" w:space="0" w:color="auto"/>
      </w:divBdr>
    </w:div>
    <w:div w:id="1045565447">
      <w:bodyDiv w:val="1"/>
      <w:marLeft w:val="0"/>
      <w:marRight w:val="0"/>
      <w:marTop w:val="0"/>
      <w:marBottom w:val="0"/>
      <w:divBdr>
        <w:top w:val="none" w:sz="0" w:space="0" w:color="auto"/>
        <w:left w:val="none" w:sz="0" w:space="0" w:color="auto"/>
        <w:bottom w:val="none" w:sz="0" w:space="0" w:color="auto"/>
        <w:right w:val="none" w:sz="0" w:space="0" w:color="auto"/>
      </w:divBdr>
    </w:div>
    <w:div w:id="1054156864">
      <w:bodyDiv w:val="1"/>
      <w:marLeft w:val="0"/>
      <w:marRight w:val="0"/>
      <w:marTop w:val="0"/>
      <w:marBottom w:val="0"/>
      <w:divBdr>
        <w:top w:val="none" w:sz="0" w:space="0" w:color="auto"/>
        <w:left w:val="none" w:sz="0" w:space="0" w:color="auto"/>
        <w:bottom w:val="none" w:sz="0" w:space="0" w:color="auto"/>
        <w:right w:val="none" w:sz="0" w:space="0" w:color="auto"/>
      </w:divBdr>
    </w:div>
    <w:div w:id="1082264427">
      <w:bodyDiv w:val="1"/>
      <w:marLeft w:val="0"/>
      <w:marRight w:val="0"/>
      <w:marTop w:val="0"/>
      <w:marBottom w:val="0"/>
      <w:divBdr>
        <w:top w:val="none" w:sz="0" w:space="0" w:color="auto"/>
        <w:left w:val="none" w:sz="0" w:space="0" w:color="auto"/>
        <w:bottom w:val="none" w:sz="0" w:space="0" w:color="auto"/>
        <w:right w:val="none" w:sz="0" w:space="0" w:color="auto"/>
      </w:divBdr>
    </w:div>
    <w:div w:id="1095326165">
      <w:bodyDiv w:val="1"/>
      <w:marLeft w:val="0"/>
      <w:marRight w:val="0"/>
      <w:marTop w:val="0"/>
      <w:marBottom w:val="0"/>
      <w:divBdr>
        <w:top w:val="none" w:sz="0" w:space="0" w:color="auto"/>
        <w:left w:val="none" w:sz="0" w:space="0" w:color="auto"/>
        <w:bottom w:val="none" w:sz="0" w:space="0" w:color="auto"/>
        <w:right w:val="none" w:sz="0" w:space="0" w:color="auto"/>
      </w:divBdr>
    </w:div>
    <w:div w:id="1100417668">
      <w:bodyDiv w:val="1"/>
      <w:marLeft w:val="0"/>
      <w:marRight w:val="0"/>
      <w:marTop w:val="0"/>
      <w:marBottom w:val="0"/>
      <w:divBdr>
        <w:top w:val="none" w:sz="0" w:space="0" w:color="auto"/>
        <w:left w:val="none" w:sz="0" w:space="0" w:color="auto"/>
        <w:bottom w:val="none" w:sz="0" w:space="0" w:color="auto"/>
        <w:right w:val="none" w:sz="0" w:space="0" w:color="auto"/>
      </w:divBdr>
    </w:div>
    <w:div w:id="1103038813">
      <w:bodyDiv w:val="1"/>
      <w:marLeft w:val="0"/>
      <w:marRight w:val="0"/>
      <w:marTop w:val="0"/>
      <w:marBottom w:val="0"/>
      <w:divBdr>
        <w:top w:val="none" w:sz="0" w:space="0" w:color="auto"/>
        <w:left w:val="none" w:sz="0" w:space="0" w:color="auto"/>
        <w:bottom w:val="none" w:sz="0" w:space="0" w:color="auto"/>
        <w:right w:val="none" w:sz="0" w:space="0" w:color="auto"/>
      </w:divBdr>
    </w:div>
    <w:div w:id="1105002641">
      <w:bodyDiv w:val="1"/>
      <w:marLeft w:val="0"/>
      <w:marRight w:val="0"/>
      <w:marTop w:val="0"/>
      <w:marBottom w:val="0"/>
      <w:divBdr>
        <w:top w:val="none" w:sz="0" w:space="0" w:color="auto"/>
        <w:left w:val="none" w:sz="0" w:space="0" w:color="auto"/>
        <w:bottom w:val="none" w:sz="0" w:space="0" w:color="auto"/>
        <w:right w:val="none" w:sz="0" w:space="0" w:color="auto"/>
      </w:divBdr>
    </w:div>
    <w:div w:id="1109087940">
      <w:bodyDiv w:val="1"/>
      <w:marLeft w:val="0"/>
      <w:marRight w:val="0"/>
      <w:marTop w:val="0"/>
      <w:marBottom w:val="0"/>
      <w:divBdr>
        <w:top w:val="none" w:sz="0" w:space="0" w:color="auto"/>
        <w:left w:val="none" w:sz="0" w:space="0" w:color="auto"/>
        <w:bottom w:val="none" w:sz="0" w:space="0" w:color="auto"/>
        <w:right w:val="none" w:sz="0" w:space="0" w:color="auto"/>
      </w:divBdr>
    </w:div>
    <w:div w:id="1127620253">
      <w:bodyDiv w:val="1"/>
      <w:marLeft w:val="0"/>
      <w:marRight w:val="0"/>
      <w:marTop w:val="0"/>
      <w:marBottom w:val="0"/>
      <w:divBdr>
        <w:top w:val="none" w:sz="0" w:space="0" w:color="auto"/>
        <w:left w:val="none" w:sz="0" w:space="0" w:color="auto"/>
        <w:bottom w:val="none" w:sz="0" w:space="0" w:color="auto"/>
        <w:right w:val="none" w:sz="0" w:space="0" w:color="auto"/>
      </w:divBdr>
    </w:div>
    <w:div w:id="1129586969">
      <w:bodyDiv w:val="1"/>
      <w:marLeft w:val="0"/>
      <w:marRight w:val="0"/>
      <w:marTop w:val="0"/>
      <w:marBottom w:val="0"/>
      <w:divBdr>
        <w:top w:val="none" w:sz="0" w:space="0" w:color="auto"/>
        <w:left w:val="none" w:sz="0" w:space="0" w:color="auto"/>
        <w:bottom w:val="none" w:sz="0" w:space="0" w:color="auto"/>
        <w:right w:val="none" w:sz="0" w:space="0" w:color="auto"/>
      </w:divBdr>
    </w:div>
    <w:div w:id="1131091055">
      <w:bodyDiv w:val="1"/>
      <w:marLeft w:val="0"/>
      <w:marRight w:val="0"/>
      <w:marTop w:val="0"/>
      <w:marBottom w:val="0"/>
      <w:divBdr>
        <w:top w:val="none" w:sz="0" w:space="0" w:color="auto"/>
        <w:left w:val="none" w:sz="0" w:space="0" w:color="auto"/>
        <w:bottom w:val="none" w:sz="0" w:space="0" w:color="auto"/>
        <w:right w:val="none" w:sz="0" w:space="0" w:color="auto"/>
      </w:divBdr>
    </w:div>
    <w:div w:id="1140073285">
      <w:bodyDiv w:val="1"/>
      <w:marLeft w:val="0"/>
      <w:marRight w:val="0"/>
      <w:marTop w:val="0"/>
      <w:marBottom w:val="0"/>
      <w:divBdr>
        <w:top w:val="none" w:sz="0" w:space="0" w:color="auto"/>
        <w:left w:val="none" w:sz="0" w:space="0" w:color="auto"/>
        <w:bottom w:val="none" w:sz="0" w:space="0" w:color="auto"/>
        <w:right w:val="none" w:sz="0" w:space="0" w:color="auto"/>
      </w:divBdr>
    </w:div>
    <w:div w:id="1143354191">
      <w:bodyDiv w:val="1"/>
      <w:marLeft w:val="0"/>
      <w:marRight w:val="0"/>
      <w:marTop w:val="0"/>
      <w:marBottom w:val="0"/>
      <w:divBdr>
        <w:top w:val="none" w:sz="0" w:space="0" w:color="auto"/>
        <w:left w:val="none" w:sz="0" w:space="0" w:color="auto"/>
        <w:bottom w:val="none" w:sz="0" w:space="0" w:color="auto"/>
        <w:right w:val="none" w:sz="0" w:space="0" w:color="auto"/>
      </w:divBdr>
    </w:div>
    <w:div w:id="1168132987">
      <w:bodyDiv w:val="1"/>
      <w:marLeft w:val="0"/>
      <w:marRight w:val="0"/>
      <w:marTop w:val="0"/>
      <w:marBottom w:val="0"/>
      <w:divBdr>
        <w:top w:val="none" w:sz="0" w:space="0" w:color="auto"/>
        <w:left w:val="none" w:sz="0" w:space="0" w:color="auto"/>
        <w:bottom w:val="none" w:sz="0" w:space="0" w:color="auto"/>
        <w:right w:val="none" w:sz="0" w:space="0" w:color="auto"/>
      </w:divBdr>
    </w:div>
    <w:div w:id="1201281314">
      <w:bodyDiv w:val="1"/>
      <w:marLeft w:val="0"/>
      <w:marRight w:val="0"/>
      <w:marTop w:val="0"/>
      <w:marBottom w:val="0"/>
      <w:divBdr>
        <w:top w:val="none" w:sz="0" w:space="0" w:color="auto"/>
        <w:left w:val="none" w:sz="0" w:space="0" w:color="auto"/>
        <w:bottom w:val="none" w:sz="0" w:space="0" w:color="auto"/>
        <w:right w:val="none" w:sz="0" w:space="0" w:color="auto"/>
      </w:divBdr>
    </w:div>
    <w:div w:id="1216967323">
      <w:bodyDiv w:val="1"/>
      <w:marLeft w:val="0"/>
      <w:marRight w:val="0"/>
      <w:marTop w:val="0"/>
      <w:marBottom w:val="0"/>
      <w:divBdr>
        <w:top w:val="none" w:sz="0" w:space="0" w:color="auto"/>
        <w:left w:val="none" w:sz="0" w:space="0" w:color="auto"/>
        <w:bottom w:val="none" w:sz="0" w:space="0" w:color="auto"/>
        <w:right w:val="none" w:sz="0" w:space="0" w:color="auto"/>
      </w:divBdr>
    </w:div>
    <w:div w:id="1243446161">
      <w:bodyDiv w:val="1"/>
      <w:marLeft w:val="0"/>
      <w:marRight w:val="0"/>
      <w:marTop w:val="0"/>
      <w:marBottom w:val="0"/>
      <w:divBdr>
        <w:top w:val="none" w:sz="0" w:space="0" w:color="auto"/>
        <w:left w:val="none" w:sz="0" w:space="0" w:color="auto"/>
        <w:bottom w:val="none" w:sz="0" w:space="0" w:color="auto"/>
        <w:right w:val="none" w:sz="0" w:space="0" w:color="auto"/>
      </w:divBdr>
    </w:div>
    <w:div w:id="1262104043">
      <w:bodyDiv w:val="1"/>
      <w:marLeft w:val="0"/>
      <w:marRight w:val="0"/>
      <w:marTop w:val="0"/>
      <w:marBottom w:val="0"/>
      <w:divBdr>
        <w:top w:val="none" w:sz="0" w:space="0" w:color="auto"/>
        <w:left w:val="none" w:sz="0" w:space="0" w:color="auto"/>
        <w:bottom w:val="none" w:sz="0" w:space="0" w:color="auto"/>
        <w:right w:val="none" w:sz="0" w:space="0" w:color="auto"/>
      </w:divBdr>
    </w:div>
    <w:div w:id="1267881352">
      <w:bodyDiv w:val="1"/>
      <w:marLeft w:val="0"/>
      <w:marRight w:val="0"/>
      <w:marTop w:val="0"/>
      <w:marBottom w:val="0"/>
      <w:divBdr>
        <w:top w:val="none" w:sz="0" w:space="0" w:color="auto"/>
        <w:left w:val="none" w:sz="0" w:space="0" w:color="auto"/>
        <w:bottom w:val="none" w:sz="0" w:space="0" w:color="auto"/>
        <w:right w:val="none" w:sz="0" w:space="0" w:color="auto"/>
      </w:divBdr>
    </w:div>
    <w:div w:id="1280333986">
      <w:bodyDiv w:val="1"/>
      <w:marLeft w:val="0"/>
      <w:marRight w:val="0"/>
      <w:marTop w:val="0"/>
      <w:marBottom w:val="0"/>
      <w:divBdr>
        <w:top w:val="none" w:sz="0" w:space="0" w:color="auto"/>
        <w:left w:val="none" w:sz="0" w:space="0" w:color="auto"/>
        <w:bottom w:val="none" w:sz="0" w:space="0" w:color="auto"/>
        <w:right w:val="none" w:sz="0" w:space="0" w:color="auto"/>
      </w:divBdr>
    </w:div>
    <w:div w:id="1285693636">
      <w:bodyDiv w:val="1"/>
      <w:marLeft w:val="0"/>
      <w:marRight w:val="0"/>
      <w:marTop w:val="0"/>
      <w:marBottom w:val="0"/>
      <w:divBdr>
        <w:top w:val="none" w:sz="0" w:space="0" w:color="auto"/>
        <w:left w:val="none" w:sz="0" w:space="0" w:color="auto"/>
        <w:bottom w:val="none" w:sz="0" w:space="0" w:color="auto"/>
        <w:right w:val="none" w:sz="0" w:space="0" w:color="auto"/>
      </w:divBdr>
    </w:div>
    <w:div w:id="1290626052">
      <w:bodyDiv w:val="1"/>
      <w:marLeft w:val="0"/>
      <w:marRight w:val="0"/>
      <w:marTop w:val="0"/>
      <w:marBottom w:val="0"/>
      <w:divBdr>
        <w:top w:val="none" w:sz="0" w:space="0" w:color="auto"/>
        <w:left w:val="none" w:sz="0" w:space="0" w:color="auto"/>
        <w:bottom w:val="none" w:sz="0" w:space="0" w:color="auto"/>
        <w:right w:val="none" w:sz="0" w:space="0" w:color="auto"/>
      </w:divBdr>
    </w:div>
    <w:div w:id="1290671138">
      <w:bodyDiv w:val="1"/>
      <w:marLeft w:val="0"/>
      <w:marRight w:val="0"/>
      <w:marTop w:val="0"/>
      <w:marBottom w:val="0"/>
      <w:divBdr>
        <w:top w:val="none" w:sz="0" w:space="0" w:color="auto"/>
        <w:left w:val="none" w:sz="0" w:space="0" w:color="auto"/>
        <w:bottom w:val="none" w:sz="0" w:space="0" w:color="auto"/>
        <w:right w:val="none" w:sz="0" w:space="0" w:color="auto"/>
      </w:divBdr>
    </w:div>
    <w:div w:id="1311520489">
      <w:bodyDiv w:val="1"/>
      <w:marLeft w:val="0"/>
      <w:marRight w:val="0"/>
      <w:marTop w:val="0"/>
      <w:marBottom w:val="0"/>
      <w:divBdr>
        <w:top w:val="none" w:sz="0" w:space="0" w:color="auto"/>
        <w:left w:val="none" w:sz="0" w:space="0" w:color="auto"/>
        <w:bottom w:val="none" w:sz="0" w:space="0" w:color="auto"/>
        <w:right w:val="none" w:sz="0" w:space="0" w:color="auto"/>
      </w:divBdr>
    </w:div>
    <w:div w:id="1358234277">
      <w:bodyDiv w:val="1"/>
      <w:marLeft w:val="0"/>
      <w:marRight w:val="0"/>
      <w:marTop w:val="0"/>
      <w:marBottom w:val="0"/>
      <w:divBdr>
        <w:top w:val="none" w:sz="0" w:space="0" w:color="auto"/>
        <w:left w:val="none" w:sz="0" w:space="0" w:color="auto"/>
        <w:bottom w:val="none" w:sz="0" w:space="0" w:color="auto"/>
        <w:right w:val="none" w:sz="0" w:space="0" w:color="auto"/>
      </w:divBdr>
    </w:div>
    <w:div w:id="1361126120">
      <w:bodyDiv w:val="1"/>
      <w:marLeft w:val="0"/>
      <w:marRight w:val="0"/>
      <w:marTop w:val="0"/>
      <w:marBottom w:val="0"/>
      <w:divBdr>
        <w:top w:val="none" w:sz="0" w:space="0" w:color="auto"/>
        <w:left w:val="none" w:sz="0" w:space="0" w:color="auto"/>
        <w:bottom w:val="none" w:sz="0" w:space="0" w:color="auto"/>
        <w:right w:val="none" w:sz="0" w:space="0" w:color="auto"/>
      </w:divBdr>
    </w:div>
    <w:div w:id="1387141507">
      <w:bodyDiv w:val="1"/>
      <w:marLeft w:val="0"/>
      <w:marRight w:val="0"/>
      <w:marTop w:val="0"/>
      <w:marBottom w:val="0"/>
      <w:divBdr>
        <w:top w:val="none" w:sz="0" w:space="0" w:color="auto"/>
        <w:left w:val="none" w:sz="0" w:space="0" w:color="auto"/>
        <w:bottom w:val="none" w:sz="0" w:space="0" w:color="auto"/>
        <w:right w:val="none" w:sz="0" w:space="0" w:color="auto"/>
      </w:divBdr>
    </w:div>
    <w:div w:id="1400399889">
      <w:bodyDiv w:val="1"/>
      <w:marLeft w:val="0"/>
      <w:marRight w:val="0"/>
      <w:marTop w:val="0"/>
      <w:marBottom w:val="0"/>
      <w:divBdr>
        <w:top w:val="none" w:sz="0" w:space="0" w:color="auto"/>
        <w:left w:val="none" w:sz="0" w:space="0" w:color="auto"/>
        <w:bottom w:val="none" w:sz="0" w:space="0" w:color="auto"/>
        <w:right w:val="none" w:sz="0" w:space="0" w:color="auto"/>
      </w:divBdr>
    </w:div>
    <w:div w:id="1402752945">
      <w:bodyDiv w:val="1"/>
      <w:marLeft w:val="0"/>
      <w:marRight w:val="0"/>
      <w:marTop w:val="0"/>
      <w:marBottom w:val="0"/>
      <w:divBdr>
        <w:top w:val="none" w:sz="0" w:space="0" w:color="auto"/>
        <w:left w:val="none" w:sz="0" w:space="0" w:color="auto"/>
        <w:bottom w:val="none" w:sz="0" w:space="0" w:color="auto"/>
        <w:right w:val="none" w:sz="0" w:space="0" w:color="auto"/>
      </w:divBdr>
    </w:div>
    <w:div w:id="1414859406">
      <w:bodyDiv w:val="1"/>
      <w:marLeft w:val="0"/>
      <w:marRight w:val="0"/>
      <w:marTop w:val="0"/>
      <w:marBottom w:val="0"/>
      <w:divBdr>
        <w:top w:val="none" w:sz="0" w:space="0" w:color="auto"/>
        <w:left w:val="none" w:sz="0" w:space="0" w:color="auto"/>
        <w:bottom w:val="none" w:sz="0" w:space="0" w:color="auto"/>
        <w:right w:val="none" w:sz="0" w:space="0" w:color="auto"/>
      </w:divBdr>
    </w:div>
    <w:div w:id="1429615626">
      <w:bodyDiv w:val="1"/>
      <w:marLeft w:val="0"/>
      <w:marRight w:val="0"/>
      <w:marTop w:val="0"/>
      <w:marBottom w:val="0"/>
      <w:divBdr>
        <w:top w:val="none" w:sz="0" w:space="0" w:color="auto"/>
        <w:left w:val="none" w:sz="0" w:space="0" w:color="auto"/>
        <w:bottom w:val="none" w:sz="0" w:space="0" w:color="auto"/>
        <w:right w:val="none" w:sz="0" w:space="0" w:color="auto"/>
      </w:divBdr>
    </w:div>
    <w:div w:id="1446924392">
      <w:bodyDiv w:val="1"/>
      <w:marLeft w:val="0"/>
      <w:marRight w:val="0"/>
      <w:marTop w:val="0"/>
      <w:marBottom w:val="0"/>
      <w:divBdr>
        <w:top w:val="none" w:sz="0" w:space="0" w:color="auto"/>
        <w:left w:val="none" w:sz="0" w:space="0" w:color="auto"/>
        <w:bottom w:val="none" w:sz="0" w:space="0" w:color="auto"/>
        <w:right w:val="none" w:sz="0" w:space="0" w:color="auto"/>
      </w:divBdr>
    </w:div>
    <w:div w:id="1451511890">
      <w:bodyDiv w:val="1"/>
      <w:marLeft w:val="0"/>
      <w:marRight w:val="0"/>
      <w:marTop w:val="0"/>
      <w:marBottom w:val="0"/>
      <w:divBdr>
        <w:top w:val="none" w:sz="0" w:space="0" w:color="auto"/>
        <w:left w:val="none" w:sz="0" w:space="0" w:color="auto"/>
        <w:bottom w:val="none" w:sz="0" w:space="0" w:color="auto"/>
        <w:right w:val="none" w:sz="0" w:space="0" w:color="auto"/>
      </w:divBdr>
    </w:div>
    <w:div w:id="1482383259">
      <w:bodyDiv w:val="1"/>
      <w:marLeft w:val="0"/>
      <w:marRight w:val="0"/>
      <w:marTop w:val="0"/>
      <w:marBottom w:val="0"/>
      <w:divBdr>
        <w:top w:val="none" w:sz="0" w:space="0" w:color="auto"/>
        <w:left w:val="none" w:sz="0" w:space="0" w:color="auto"/>
        <w:bottom w:val="none" w:sz="0" w:space="0" w:color="auto"/>
        <w:right w:val="none" w:sz="0" w:space="0" w:color="auto"/>
      </w:divBdr>
    </w:div>
    <w:div w:id="1499417575">
      <w:bodyDiv w:val="1"/>
      <w:marLeft w:val="0"/>
      <w:marRight w:val="0"/>
      <w:marTop w:val="0"/>
      <w:marBottom w:val="0"/>
      <w:divBdr>
        <w:top w:val="none" w:sz="0" w:space="0" w:color="auto"/>
        <w:left w:val="none" w:sz="0" w:space="0" w:color="auto"/>
        <w:bottom w:val="none" w:sz="0" w:space="0" w:color="auto"/>
        <w:right w:val="none" w:sz="0" w:space="0" w:color="auto"/>
      </w:divBdr>
    </w:div>
    <w:div w:id="1547523811">
      <w:bodyDiv w:val="1"/>
      <w:marLeft w:val="0"/>
      <w:marRight w:val="0"/>
      <w:marTop w:val="0"/>
      <w:marBottom w:val="0"/>
      <w:divBdr>
        <w:top w:val="none" w:sz="0" w:space="0" w:color="auto"/>
        <w:left w:val="none" w:sz="0" w:space="0" w:color="auto"/>
        <w:bottom w:val="none" w:sz="0" w:space="0" w:color="auto"/>
        <w:right w:val="none" w:sz="0" w:space="0" w:color="auto"/>
      </w:divBdr>
    </w:div>
    <w:div w:id="1557427632">
      <w:bodyDiv w:val="1"/>
      <w:marLeft w:val="0"/>
      <w:marRight w:val="0"/>
      <w:marTop w:val="0"/>
      <w:marBottom w:val="0"/>
      <w:divBdr>
        <w:top w:val="none" w:sz="0" w:space="0" w:color="auto"/>
        <w:left w:val="none" w:sz="0" w:space="0" w:color="auto"/>
        <w:bottom w:val="none" w:sz="0" w:space="0" w:color="auto"/>
        <w:right w:val="none" w:sz="0" w:space="0" w:color="auto"/>
      </w:divBdr>
    </w:div>
    <w:div w:id="1570462205">
      <w:bodyDiv w:val="1"/>
      <w:marLeft w:val="0"/>
      <w:marRight w:val="0"/>
      <w:marTop w:val="0"/>
      <w:marBottom w:val="0"/>
      <w:divBdr>
        <w:top w:val="none" w:sz="0" w:space="0" w:color="auto"/>
        <w:left w:val="none" w:sz="0" w:space="0" w:color="auto"/>
        <w:bottom w:val="none" w:sz="0" w:space="0" w:color="auto"/>
        <w:right w:val="none" w:sz="0" w:space="0" w:color="auto"/>
      </w:divBdr>
    </w:div>
    <w:div w:id="1570530226">
      <w:bodyDiv w:val="1"/>
      <w:marLeft w:val="0"/>
      <w:marRight w:val="0"/>
      <w:marTop w:val="0"/>
      <w:marBottom w:val="0"/>
      <w:divBdr>
        <w:top w:val="none" w:sz="0" w:space="0" w:color="auto"/>
        <w:left w:val="none" w:sz="0" w:space="0" w:color="auto"/>
        <w:bottom w:val="none" w:sz="0" w:space="0" w:color="auto"/>
        <w:right w:val="none" w:sz="0" w:space="0" w:color="auto"/>
      </w:divBdr>
    </w:div>
    <w:div w:id="1576015732">
      <w:bodyDiv w:val="1"/>
      <w:marLeft w:val="0"/>
      <w:marRight w:val="0"/>
      <w:marTop w:val="0"/>
      <w:marBottom w:val="0"/>
      <w:divBdr>
        <w:top w:val="none" w:sz="0" w:space="0" w:color="auto"/>
        <w:left w:val="none" w:sz="0" w:space="0" w:color="auto"/>
        <w:bottom w:val="none" w:sz="0" w:space="0" w:color="auto"/>
        <w:right w:val="none" w:sz="0" w:space="0" w:color="auto"/>
      </w:divBdr>
    </w:div>
    <w:div w:id="1596397877">
      <w:bodyDiv w:val="1"/>
      <w:marLeft w:val="0"/>
      <w:marRight w:val="0"/>
      <w:marTop w:val="0"/>
      <w:marBottom w:val="0"/>
      <w:divBdr>
        <w:top w:val="none" w:sz="0" w:space="0" w:color="auto"/>
        <w:left w:val="none" w:sz="0" w:space="0" w:color="auto"/>
        <w:bottom w:val="none" w:sz="0" w:space="0" w:color="auto"/>
        <w:right w:val="none" w:sz="0" w:space="0" w:color="auto"/>
      </w:divBdr>
    </w:div>
    <w:div w:id="1614022845">
      <w:bodyDiv w:val="1"/>
      <w:marLeft w:val="0"/>
      <w:marRight w:val="0"/>
      <w:marTop w:val="0"/>
      <w:marBottom w:val="0"/>
      <w:divBdr>
        <w:top w:val="none" w:sz="0" w:space="0" w:color="auto"/>
        <w:left w:val="none" w:sz="0" w:space="0" w:color="auto"/>
        <w:bottom w:val="none" w:sz="0" w:space="0" w:color="auto"/>
        <w:right w:val="none" w:sz="0" w:space="0" w:color="auto"/>
      </w:divBdr>
    </w:div>
    <w:div w:id="1623615347">
      <w:bodyDiv w:val="1"/>
      <w:marLeft w:val="0"/>
      <w:marRight w:val="0"/>
      <w:marTop w:val="0"/>
      <w:marBottom w:val="0"/>
      <w:divBdr>
        <w:top w:val="none" w:sz="0" w:space="0" w:color="auto"/>
        <w:left w:val="none" w:sz="0" w:space="0" w:color="auto"/>
        <w:bottom w:val="none" w:sz="0" w:space="0" w:color="auto"/>
        <w:right w:val="none" w:sz="0" w:space="0" w:color="auto"/>
      </w:divBdr>
    </w:div>
    <w:div w:id="1655602207">
      <w:bodyDiv w:val="1"/>
      <w:marLeft w:val="0"/>
      <w:marRight w:val="0"/>
      <w:marTop w:val="0"/>
      <w:marBottom w:val="0"/>
      <w:divBdr>
        <w:top w:val="none" w:sz="0" w:space="0" w:color="auto"/>
        <w:left w:val="none" w:sz="0" w:space="0" w:color="auto"/>
        <w:bottom w:val="none" w:sz="0" w:space="0" w:color="auto"/>
        <w:right w:val="none" w:sz="0" w:space="0" w:color="auto"/>
      </w:divBdr>
    </w:div>
    <w:div w:id="1658875120">
      <w:bodyDiv w:val="1"/>
      <w:marLeft w:val="0"/>
      <w:marRight w:val="0"/>
      <w:marTop w:val="0"/>
      <w:marBottom w:val="0"/>
      <w:divBdr>
        <w:top w:val="none" w:sz="0" w:space="0" w:color="auto"/>
        <w:left w:val="none" w:sz="0" w:space="0" w:color="auto"/>
        <w:bottom w:val="none" w:sz="0" w:space="0" w:color="auto"/>
        <w:right w:val="none" w:sz="0" w:space="0" w:color="auto"/>
      </w:divBdr>
    </w:div>
    <w:div w:id="1660768462">
      <w:bodyDiv w:val="1"/>
      <w:marLeft w:val="0"/>
      <w:marRight w:val="0"/>
      <w:marTop w:val="0"/>
      <w:marBottom w:val="0"/>
      <w:divBdr>
        <w:top w:val="none" w:sz="0" w:space="0" w:color="auto"/>
        <w:left w:val="none" w:sz="0" w:space="0" w:color="auto"/>
        <w:bottom w:val="none" w:sz="0" w:space="0" w:color="auto"/>
        <w:right w:val="none" w:sz="0" w:space="0" w:color="auto"/>
      </w:divBdr>
    </w:div>
    <w:div w:id="1661932173">
      <w:bodyDiv w:val="1"/>
      <w:marLeft w:val="0"/>
      <w:marRight w:val="0"/>
      <w:marTop w:val="0"/>
      <w:marBottom w:val="0"/>
      <w:divBdr>
        <w:top w:val="none" w:sz="0" w:space="0" w:color="auto"/>
        <w:left w:val="none" w:sz="0" w:space="0" w:color="auto"/>
        <w:bottom w:val="none" w:sz="0" w:space="0" w:color="auto"/>
        <w:right w:val="none" w:sz="0" w:space="0" w:color="auto"/>
      </w:divBdr>
    </w:div>
    <w:div w:id="1693458069">
      <w:bodyDiv w:val="1"/>
      <w:marLeft w:val="0"/>
      <w:marRight w:val="0"/>
      <w:marTop w:val="0"/>
      <w:marBottom w:val="0"/>
      <w:divBdr>
        <w:top w:val="none" w:sz="0" w:space="0" w:color="auto"/>
        <w:left w:val="none" w:sz="0" w:space="0" w:color="auto"/>
        <w:bottom w:val="none" w:sz="0" w:space="0" w:color="auto"/>
        <w:right w:val="none" w:sz="0" w:space="0" w:color="auto"/>
      </w:divBdr>
    </w:div>
    <w:div w:id="1698895553">
      <w:bodyDiv w:val="1"/>
      <w:marLeft w:val="0"/>
      <w:marRight w:val="0"/>
      <w:marTop w:val="0"/>
      <w:marBottom w:val="0"/>
      <w:divBdr>
        <w:top w:val="none" w:sz="0" w:space="0" w:color="auto"/>
        <w:left w:val="none" w:sz="0" w:space="0" w:color="auto"/>
        <w:bottom w:val="none" w:sz="0" w:space="0" w:color="auto"/>
        <w:right w:val="none" w:sz="0" w:space="0" w:color="auto"/>
      </w:divBdr>
    </w:div>
    <w:div w:id="1745452149">
      <w:bodyDiv w:val="1"/>
      <w:marLeft w:val="0"/>
      <w:marRight w:val="0"/>
      <w:marTop w:val="0"/>
      <w:marBottom w:val="0"/>
      <w:divBdr>
        <w:top w:val="none" w:sz="0" w:space="0" w:color="auto"/>
        <w:left w:val="none" w:sz="0" w:space="0" w:color="auto"/>
        <w:bottom w:val="none" w:sz="0" w:space="0" w:color="auto"/>
        <w:right w:val="none" w:sz="0" w:space="0" w:color="auto"/>
      </w:divBdr>
    </w:div>
    <w:div w:id="1756784095">
      <w:bodyDiv w:val="1"/>
      <w:marLeft w:val="0"/>
      <w:marRight w:val="0"/>
      <w:marTop w:val="0"/>
      <w:marBottom w:val="0"/>
      <w:divBdr>
        <w:top w:val="none" w:sz="0" w:space="0" w:color="auto"/>
        <w:left w:val="none" w:sz="0" w:space="0" w:color="auto"/>
        <w:bottom w:val="none" w:sz="0" w:space="0" w:color="auto"/>
        <w:right w:val="none" w:sz="0" w:space="0" w:color="auto"/>
      </w:divBdr>
    </w:div>
    <w:div w:id="1760322186">
      <w:bodyDiv w:val="1"/>
      <w:marLeft w:val="0"/>
      <w:marRight w:val="0"/>
      <w:marTop w:val="0"/>
      <w:marBottom w:val="0"/>
      <w:divBdr>
        <w:top w:val="none" w:sz="0" w:space="0" w:color="auto"/>
        <w:left w:val="none" w:sz="0" w:space="0" w:color="auto"/>
        <w:bottom w:val="none" w:sz="0" w:space="0" w:color="auto"/>
        <w:right w:val="none" w:sz="0" w:space="0" w:color="auto"/>
      </w:divBdr>
    </w:div>
    <w:div w:id="1765493989">
      <w:bodyDiv w:val="1"/>
      <w:marLeft w:val="0"/>
      <w:marRight w:val="0"/>
      <w:marTop w:val="0"/>
      <w:marBottom w:val="0"/>
      <w:divBdr>
        <w:top w:val="none" w:sz="0" w:space="0" w:color="auto"/>
        <w:left w:val="none" w:sz="0" w:space="0" w:color="auto"/>
        <w:bottom w:val="none" w:sz="0" w:space="0" w:color="auto"/>
        <w:right w:val="none" w:sz="0" w:space="0" w:color="auto"/>
      </w:divBdr>
    </w:div>
    <w:div w:id="1781296610">
      <w:bodyDiv w:val="1"/>
      <w:marLeft w:val="0"/>
      <w:marRight w:val="0"/>
      <w:marTop w:val="0"/>
      <w:marBottom w:val="0"/>
      <w:divBdr>
        <w:top w:val="none" w:sz="0" w:space="0" w:color="auto"/>
        <w:left w:val="none" w:sz="0" w:space="0" w:color="auto"/>
        <w:bottom w:val="none" w:sz="0" w:space="0" w:color="auto"/>
        <w:right w:val="none" w:sz="0" w:space="0" w:color="auto"/>
      </w:divBdr>
    </w:div>
    <w:div w:id="1783265511">
      <w:bodyDiv w:val="1"/>
      <w:marLeft w:val="0"/>
      <w:marRight w:val="0"/>
      <w:marTop w:val="0"/>
      <w:marBottom w:val="0"/>
      <w:divBdr>
        <w:top w:val="none" w:sz="0" w:space="0" w:color="auto"/>
        <w:left w:val="none" w:sz="0" w:space="0" w:color="auto"/>
        <w:bottom w:val="none" w:sz="0" w:space="0" w:color="auto"/>
        <w:right w:val="none" w:sz="0" w:space="0" w:color="auto"/>
      </w:divBdr>
    </w:div>
    <w:div w:id="1792169106">
      <w:bodyDiv w:val="1"/>
      <w:marLeft w:val="0"/>
      <w:marRight w:val="0"/>
      <w:marTop w:val="0"/>
      <w:marBottom w:val="0"/>
      <w:divBdr>
        <w:top w:val="none" w:sz="0" w:space="0" w:color="auto"/>
        <w:left w:val="none" w:sz="0" w:space="0" w:color="auto"/>
        <w:bottom w:val="none" w:sz="0" w:space="0" w:color="auto"/>
        <w:right w:val="none" w:sz="0" w:space="0" w:color="auto"/>
      </w:divBdr>
    </w:div>
    <w:div w:id="1794396369">
      <w:bodyDiv w:val="1"/>
      <w:marLeft w:val="0"/>
      <w:marRight w:val="0"/>
      <w:marTop w:val="0"/>
      <w:marBottom w:val="0"/>
      <w:divBdr>
        <w:top w:val="none" w:sz="0" w:space="0" w:color="auto"/>
        <w:left w:val="none" w:sz="0" w:space="0" w:color="auto"/>
        <w:bottom w:val="none" w:sz="0" w:space="0" w:color="auto"/>
        <w:right w:val="none" w:sz="0" w:space="0" w:color="auto"/>
      </w:divBdr>
    </w:div>
    <w:div w:id="1796749443">
      <w:bodyDiv w:val="1"/>
      <w:marLeft w:val="0"/>
      <w:marRight w:val="0"/>
      <w:marTop w:val="0"/>
      <w:marBottom w:val="0"/>
      <w:divBdr>
        <w:top w:val="none" w:sz="0" w:space="0" w:color="auto"/>
        <w:left w:val="none" w:sz="0" w:space="0" w:color="auto"/>
        <w:bottom w:val="none" w:sz="0" w:space="0" w:color="auto"/>
        <w:right w:val="none" w:sz="0" w:space="0" w:color="auto"/>
      </w:divBdr>
    </w:div>
    <w:div w:id="1819688205">
      <w:bodyDiv w:val="1"/>
      <w:marLeft w:val="0"/>
      <w:marRight w:val="0"/>
      <w:marTop w:val="0"/>
      <w:marBottom w:val="0"/>
      <w:divBdr>
        <w:top w:val="none" w:sz="0" w:space="0" w:color="auto"/>
        <w:left w:val="none" w:sz="0" w:space="0" w:color="auto"/>
        <w:bottom w:val="none" w:sz="0" w:space="0" w:color="auto"/>
        <w:right w:val="none" w:sz="0" w:space="0" w:color="auto"/>
      </w:divBdr>
    </w:div>
    <w:div w:id="1833064071">
      <w:bodyDiv w:val="1"/>
      <w:marLeft w:val="0"/>
      <w:marRight w:val="0"/>
      <w:marTop w:val="0"/>
      <w:marBottom w:val="0"/>
      <w:divBdr>
        <w:top w:val="none" w:sz="0" w:space="0" w:color="auto"/>
        <w:left w:val="none" w:sz="0" w:space="0" w:color="auto"/>
        <w:bottom w:val="none" w:sz="0" w:space="0" w:color="auto"/>
        <w:right w:val="none" w:sz="0" w:space="0" w:color="auto"/>
      </w:divBdr>
    </w:div>
    <w:div w:id="1859461829">
      <w:bodyDiv w:val="1"/>
      <w:marLeft w:val="0"/>
      <w:marRight w:val="0"/>
      <w:marTop w:val="0"/>
      <w:marBottom w:val="0"/>
      <w:divBdr>
        <w:top w:val="none" w:sz="0" w:space="0" w:color="auto"/>
        <w:left w:val="none" w:sz="0" w:space="0" w:color="auto"/>
        <w:bottom w:val="none" w:sz="0" w:space="0" w:color="auto"/>
        <w:right w:val="none" w:sz="0" w:space="0" w:color="auto"/>
      </w:divBdr>
    </w:div>
    <w:div w:id="1868834739">
      <w:bodyDiv w:val="1"/>
      <w:marLeft w:val="0"/>
      <w:marRight w:val="0"/>
      <w:marTop w:val="0"/>
      <w:marBottom w:val="0"/>
      <w:divBdr>
        <w:top w:val="none" w:sz="0" w:space="0" w:color="auto"/>
        <w:left w:val="none" w:sz="0" w:space="0" w:color="auto"/>
        <w:bottom w:val="none" w:sz="0" w:space="0" w:color="auto"/>
        <w:right w:val="none" w:sz="0" w:space="0" w:color="auto"/>
      </w:divBdr>
    </w:div>
    <w:div w:id="1882664309">
      <w:bodyDiv w:val="1"/>
      <w:marLeft w:val="0"/>
      <w:marRight w:val="0"/>
      <w:marTop w:val="0"/>
      <w:marBottom w:val="0"/>
      <w:divBdr>
        <w:top w:val="none" w:sz="0" w:space="0" w:color="auto"/>
        <w:left w:val="none" w:sz="0" w:space="0" w:color="auto"/>
        <w:bottom w:val="none" w:sz="0" w:space="0" w:color="auto"/>
        <w:right w:val="none" w:sz="0" w:space="0" w:color="auto"/>
      </w:divBdr>
    </w:div>
    <w:div w:id="1902859192">
      <w:bodyDiv w:val="1"/>
      <w:marLeft w:val="0"/>
      <w:marRight w:val="0"/>
      <w:marTop w:val="0"/>
      <w:marBottom w:val="0"/>
      <w:divBdr>
        <w:top w:val="none" w:sz="0" w:space="0" w:color="auto"/>
        <w:left w:val="none" w:sz="0" w:space="0" w:color="auto"/>
        <w:bottom w:val="none" w:sz="0" w:space="0" w:color="auto"/>
        <w:right w:val="none" w:sz="0" w:space="0" w:color="auto"/>
      </w:divBdr>
    </w:div>
    <w:div w:id="1931961425">
      <w:bodyDiv w:val="1"/>
      <w:marLeft w:val="0"/>
      <w:marRight w:val="0"/>
      <w:marTop w:val="0"/>
      <w:marBottom w:val="0"/>
      <w:divBdr>
        <w:top w:val="none" w:sz="0" w:space="0" w:color="auto"/>
        <w:left w:val="none" w:sz="0" w:space="0" w:color="auto"/>
        <w:bottom w:val="none" w:sz="0" w:space="0" w:color="auto"/>
        <w:right w:val="none" w:sz="0" w:space="0" w:color="auto"/>
      </w:divBdr>
    </w:div>
    <w:div w:id="1941138552">
      <w:bodyDiv w:val="1"/>
      <w:marLeft w:val="0"/>
      <w:marRight w:val="0"/>
      <w:marTop w:val="0"/>
      <w:marBottom w:val="0"/>
      <w:divBdr>
        <w:top w:val="none" w:sz="0" w:space="0" w:color="auto"/>
        <w:left w:val="none" w:sz="0" w:space="0" w:color="auto"/>
        <w:bottom w:val="none" w:sz="0" w:space="0" w:color="auto"/>
        <w:right w:val="none" w:sz="0" w:space="0" w:color="auto"/>
      </w:divBdr>
    </w:div>
    <w:div w:id="1945574343">
      <w:bodyDiv w:val="1"/>
      <w:marLeft w:val="0"/>
      <w:marRight w:val="0"/>
      <w:marTop w:val="0"/>
      <w:marBottom w:val="0"/>
      <w:divBdr>
        <w:top w:val="none" w:sz="0" w:space="0" w:color="auto"/>
        <w:left w:val="none" w:sz="0" w:space="0" w:color="auto"/>
        <w:bottom w:val="none" w:sz="0" w:space="0" w:color="auto"/>
        <w:right w:val="none" w:sz="0" w:space="0" w:color="auto"/>
      </w:divBdr>
    </w:div>
    <w:div w:id="1977249272">
      <w:bodyDiv w:val="1"/>
      <w:marLeft w:val="0"/>
      <w:marRight w:val="0"/>
      <w:marTop w:val="0"/>
      <w:marBottom w:val="0"/>
      <w:divBdr>
        <w:top w:val="none" w:sz="0" w:space="0" w:color="auto"/>
        <w:left w:val="none" w:sz="0" w:space="0" w:color="auto"/>
        <w:bottom w:val="none" w:sz="0" w:space="0" w:color="auto"/>
        <w:right w:val="none" w:sz="0" w:space="0" w:color="auto"/>
      </w:divBdr>
    </w:div>
    <w:div w:id="1990479922">
      <w:bodyDiv w:val="1"/>
      <w:marLeft w:val="0"/>
      <w:marRight w:val="0"/>
      <w:marTop w:val="0"/>
      <w:marBottom w:val="0"/>
      <w:divBdr>
        <w:top w:val="none" w:sz="0" w:space="0" w:color="auto"/>
        <w:left w:val="none" w:sz="0" w:space="0" w:color="auto"/>
        <w:bottom w:val="none" w:sz="0" w:space="0" w:color="auto"/>
        <w:right w:val="none" w:sz="0" w:space="0" w:color="auto"/>
      </w:divBdr>
    </w:div>
    <w:div w:id="2027560583">
      <w:bodyDiv w:val="1"/>
      <w:marLeft w:val="0"/>
      <w:marRight w:val="0"/>
      <w:marTop w:val="0"/>
      <w:marBottom w:val="0"/>
      <w:divBdr>
        <w:top w:val="none" w:sz="0" w:space="0" w:color="auto"/>
        <w:left w:val="none" w:sz="0" w:space="0" w:color="auto"/>
        <w:bottom w:val="none" w:sz="0" w:space="0" w:color="auto"/>
        <w:right w:val="none" w:sz="0" w:space="0" w:color="auto"/>
      </w:divBdr>
    </w:div>
    <w:div w:id="2032995323">
      <w:bodyDiv w:val="1"/>
      <w:marLeft w:val="0"/>
      <w:marRight w:val="0"/>
      <w:marTop w:val="0"/>
      <w:marBottom w:val="0"/>
      <w:divBdr>
        <w:top w:val="none" w:sz="0" w:space="0" w:color="auto"/>
        <w:left w:val="none" w:sz="0" w:space="0" w:color="auto"/>
        <w:bottom w:val="none" w:sz="0" w:space="0" w:color="auto"/>
        <w:right w:val="none" w:sz="0" w:space="0" w:color="auto"/>
      </w:divBdr>
    </w:div>
    <w:div w:id="2045598175">
      <w:bodyDiv w:val="1"/>
      <w:marLeft w:val="0"/>
      <w:marRight w:val="0"/>
      <w:marTop w:val="0"/>
      <w:marBottom w:val="0"/>
      <w:divBdr>
        <w:top w:val="none" w:sz="0" w:space="0" w:color="auto"/>
        <w:left w:val="none" w:sz="0" w:space="0" w:color="auto"/>
        <w:bottom w:val="none" w:sz="0" w:space="0" w:color="auto"/>
        <w:right w:val="none" w:sz="0" w:space="0" w:color="auto"/>
      </w:divBdr>
    </w:div>
    <w:div w:id="2064134715">
      <w:bodyDiv w:val="1"/>
      <w:marLeft w:val="0"/>
      <w:marRight w:val="0"/>
      <w:marTop w:val="0"/>
      <w:marBottom w:val="0"/>
      <w:divBdr>
        <w:top w:val="none" w:sz="0" w:space="0" w:color="auto"/>
        <w:left w:val="none" w:sz="0" w:space="0" w:color="auto"/>
        <w:bottom w:val="none" w:sz="0" w:space="0" w:color="auto"/>
        <w:right w:val="none" w:sz="0" w:space="0" w:color="auto"/>
      </w:divBdr>
    </w:div>
    <w:div w:id="2068330952">
      <w:bodyDiv w:val="1"/>
      <w:marLeft w:val="0"/>
      <w:marRight w:val="0"/>
      <w:marTop w:val="0"/>
      <w:marBottom w:val="0"/>
      <w:divBdr>
        <w:top w:val="none" w:sz="0" w:space="0" w:color="auto"/>
        <w:left w:val="none" w:sz="0" w:space="0" w:color="auto"/>
        <w:bottom w:val="none" w:sz="0" w:space="0" w:color="auto"/>
        <w:right w:val="none" w:sz="0" w:space="0" w:color="auto"/>
      </w:divBdr>
    </w:div>
    <w:div w:id="2082092137">
      <w:bodyDiv w:val="1"/>
      <w:marLeft w:val="0"/>
      <w:marRight w:val="0"/>
      <w:marTop w:val="0"/>
      <w:marBottom w:val="0"/>
      <w:divBdr>
        <w:top w:val="none" w:sz="0" w:space="0" w:color="auto"/>
        <w:left w:val="none" w:sz="0" w:space="0" w:color="auto"/>
        <w:bottom w:val="none" w:sz="0" w:space="0" w:color="auto"/>
        <w:right w:val="none" w:sz="0" w:space="0" w:color="auto"/>
      </w:divBdr>
    </w:div>
    <w:div w:id="2082094114">
      <w:bodyDiv w:val="1"/>
      <w:marLeft w:val="0"/>
      <w:marRight w:val="0"/>
      <w:marTop w:val="0"/>
      <w:marBottom w:val="0"/>
      <w:divBdr>
        <w:top w:val="none" w:sz="0" w:space="0" w:color="auto"/>
        <w:left w:val="none" w:sz="0" w:space="0" w:color="auto"/>
        <w:bottom w:val="none" w:sz="0" w:space="0" w:color="auto"/>
        <w:right w:val="none" w:sz="0" w:space="0" w:color="auto"/>
      </w:divBdr>
    </w:div>
    <w:div w:id="2096709616">
      <w:bodyDiv w:val="1"/>
      <w:marLeft w:val="0"/>
      <w:marRight w:val="0"/>
      <w:marTop w:val="0"/>
      <w:marBottom w:val="0"/>
      <w:divBdr>
        <w:top w:val="none" w:sz="0" w:space="0" w:color="auto"/>
        <w:left w:val="none" w:sz="0" w:space="0" w:color="auto"/>
        <w:bottom w:val="none" w:sz="0" w:space="0" w:color="auto"/>
        <w:right w:val="none" w:sz="0" w:space="0" w:color="auto"/>
      </w:divBdr>
      <w:divsChild>
        <w:div w:id="1372193473">
          <w:marLeft w:val="0"/>
          <w:marRight w:val="0"/>
          <w:marTop w:val="0"/>
          <w:marBottom w:val="0"/>
          <w:divBdr>
            <w:top w:val="none" w:sz="0" w:space="0" w:color="auto"/>
            <w:left w:val="none" w:sz="0" w:space="0" w:color="auto"/>
            <w:bottom w:val="none" w:sz="0" w:space="0" w:color="auto"/>
            <w:right w:val="none" w:sz="0" w:space="0" w:color="auto"/>
          </w:divBdr>
          <w:divsChild>
            <w:div w:id="2028679874">
              <w:marLeft w:val="0"/>
              <w:marRight w:val="0"/>
              <w:marTop w:val="0"/>
              <w:marBottom w:val="0"/>
              <w:divBdr>
                <w:top w:val="none" w:sz="0" w:space="0" w:color="auto"/>
                <w:left w:val="none" w:sz="0" w:space="0" w:color="auto"/>
                <w:bottom w:val="none" w:sz="0" w:space="0" w:color="auto"/>
                <w:right w:val="none" w:sz="0" w:space="0" w:color="auto"/>
              </w:divBdr>
            </w:div>
          </w:divsChild>
        </w:div>
        <w:div w:id="900869099">
          <w:marLeft w:val="0"/>
          <w:marRight w:val="0"/>
          <w:marTop w:val="0"/>
          <w:marBottom w:val="0"/>
          <w:divBdr>
            <w:top w:val="none" w:sz="0" w:space="0" w:color="auto"/>
            <w:left w:val="none" w:sz="0" w:space="0" w:color="auto"/>
            <w:bottom w:val="none" w:sz="0" w:space="0" w:color="auto"/>
            <w:right w:val="none" w:sz="0" w:space="0" w:color="auto"/>
          </w:divBdr>
        </w:div>
      </w:divsChild>
    </w:div>
    <w:div w:id="2100789237">
      <w:bodyDiv w:val="1"/>
      <w:marLeft w:val="0"/>
      <w:marRight w:val="0"/>
      <w:marTop w:val="0"/>
      <w:marBottom w:val="0"/>
      <w:divBdr>
        <w:top w:val="none" w:sz="0" w:space="0" w:color="auto"/>
        <w:left w:val="none" w:sz="0" w:space="0" w:color="auto"/>
        <w:bottom w:val="none" w:sz="0" w:space="0" w:color="auto"/>
        <w:right w:val="none" w:sz="0" w:space="0" w:color="auto"/>
      </w:divBdr>
    </w:div>
    <w:div w:id="2109888511">
      <w:bodyDiv w:val="1"/>
      <w:marLeft w:val="0"/>
      <w:marRight w:val="0"/>
      <w:marTop w:val="0"/>
      <w:marBottom w:val="0"/>
      <w:divBdr>
        <w:top w:val="none" w:sz="0" w:space="0" w:color="auto"/>
        <w:left w:val="none" w:sz="0" w:space="0" w:color="auto"/>
        <w:bottom w:val="none" w:sz="0" w:space="0" w:color="auto"/>
        <w:right w:val="none" w:sz="0" w:space="0" w:color="auto"/>
      </w:divBdr>
    </w:div>
    <w:div w:id="2117210656">
      <w:bodyDiv w:val="1"/>
      <w:marLeft w:val="0"/>
      <w:marRight w:val="0"/>
      <w:marTop w:val="0"/>
      <w:marBottom w:val="0"/>
      <w:divBdr>
        <w:top w:val="none" w:sz="0" w:space="0" w:color="auto"/>
        <w:left w:val="none" w:sz="0" w:space="0" w:color="auto"/>
        <w:bottom w:val="none" w:sz="0" w:space="0" w:color="auto"/>
        <w:right w:val="none" w:sz="0" w:space="0" w:color="auto"/>
      </w:divBdr>
    </w:div>
    <w:div w:id="2121147371">
      <w:bodyDiv w:val="1"/>
      <w:marLeft w:val="0"/>
      <w:marRight w:val="0"/>
      <w:marTop w:val="0"/>
      <w:marBottom w:val="0"/>
      <w:divBdr>
        <w:top w:val="none" w:sz="0" w:space="0" w:color="auto"/>
        <w:left w:val="none" w:sz="0" w:space="0" w:color="auto"/>
        <w:bottom w:val="none" w:sz="0" w:space="0" w:color="auto"/>
        <w:right w:val="none" w:sz="0" w:space="0" w:color="auto"/>
      </w:divBdr>
    </w:div>
    <w:div w:id="2122259588">
      <w:bodyDiv w:val="1"/>
      <w:marLeft w:val="0"/>
      <w:marRight w:val="0"/>
      <w:marTop w:val="0"/>
      <w:marBottom w:val="0"/>
      <w:divBdr>
        <w:top w:val="none" w:sz="0" w:space="0" w:color="auto"/>
        <w:left w:val="none" w:sz="0" w:space="0" w:color="auto"/>
        <w:bottom w:val="none" w:sz="0" w:space="0" w:color="auto"/>
        <w:right w:val="none" w:sz="0" w:space="0" w:color="auto"/>
      </w:divBdr>
    </w:div>
    <w:div w:id="2124835063">
      <w:bodyDiv w:val="1"/>
      <w:marLeft w:val="0"/>
      <w:marRight w:val="0"/>
      <w:marTop w:val="0"/>
      <w:marBottom w:val="0"/>
      <w:divBdr>
        <w:top w:val="none" w:sz="0" w:space="0" w:color="auto"/>
        <w:left w:val="none" w:sz="0" w:space="0" w:color="auto"/>
        <w:bottom w:val="none" w:sz="0" w:space="0" w:color="auto"/>
        <w:right w:val="none" w:sz="0" w:space="0" w:color="auto"/>
      </w:divBdr>
    </w:div>
    <w:div w:id="2135561333">
      <w:bodyDiv w:val="1"/>
      <w:marLeft w:val="0"/>
      <w:marRight w:val="0"/>
      <w:marTop w:val="0"/>
      <w:marBottom w:val="0"/>
      <w:divBdr>
        <w:top w:val="none" w:sz="0" w:space="0" w:color="auto"/>
        <w:left w:val="none" w:sz="0" w:space="0" w:color="auto"/>
        <w:bottom w:val="none" w:sz="0" w:space="0" w:color="auto"/>
        <w:right w:val="none" w:sz="0" w:space="0" w:color="auto"/>
      </w:divBdr>
    </w:div>
    <w:div w:id="214107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enHaines\AppData\Local\Temp\Templafy\WordVsto\Corporate%20Finance%20Numbered%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d85dfb-9af5-43b0-8087-e50f38d89773">
      <Terms xmlns="http://schemas.microsoft.com/office/infopath/2007/PartnerControls"/>
    </lcf76f155ced4ddcb4097134ff3c332f>
    <TaxCatchAll xmlns="2ab80707-63b2-4c1c-aaed-be59eda1ed91" xsi:nil="true"/>
  </documentManagement>
</p:properties>
</file>

<file path=customXml/item3.xml><?xml version="1.0" encoding="utf-8"?>
<TemplafyTemplateConfiguration><![CDATA[{"elementsMetadata":[],"transformationConfigurations":[],"templateName":"Corporate Finance Numbered Report Template","templateDescription":"Corporate Finance Numbered Report Template","enableDocumentContentUpdater":false,"version":"2.0"}]]></TemplafyTemplateConfiguration>
</file>

<file path=customXml/item4.xml>��< ? x m l   v e r s i o n = " 1 . 0 "   e n c o d i n g = " u t f - 1 6 " ? > < p r o p e r t i e s   x m l n s = " h t t p : / / w w w . i m a n a g e . c o m / w o r k / x m l s c h e m a " >  
     < d o c u m e n t i d > A c t i v e ! 3 9 9 7 3 1 6 4 . 1 < / d o c u m e n t i d >  
     < s e n d e r i d > T P 0 4 < / s e n d e r i d >  
     < s e n d e r e m a i l > T P A R K @ M K S . C O . U K < / s e n d e r e m a i l >  
     < l a s t m o d i f i e d > 2 0 2 2 - 1 1 - 0 8 T 1 6 : 1 5 : 0 0 . 0 0 0 0 0 0 0 + 0 0 : 0 0 < / l a s t m o d i f i e d >  
     < d a t a b a s e > A c t i v e < / 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20E1AD706B8CB48ADD21116926DDC74" ma:contentTypeVersion="19" ma:contentTypeDescription="Create a new document." ma:contentTypeScope="" ma:versionID="d2ee3c101d655bf45630debf97b22112">
  <xsd:schema xmlns:xsd="http://www.w3.org/2001/XMLSchema" xmlns:xs="http://www.w3.org/2001/XMLSchema" xmlns:p="http://schemas.microsoft.com/office/2006/metadata/properties" xmlns:ns2="2ab80707-63b2-4c1c-aaed-be59eda1ed91" xmlns:ns3="fad85dfb-9af5-43b0-8087-e50f38d89773" targetNamespace="http://schemas.microsoft.com/office/2006/metadata/properties" ma:root="true" ma:fieldsID="8839e26dfd33024fe1b5cc60df6a0e5d" ns2:_="" ns3:_="">
    <xsd:import namespace="2ab80707-63b2-4c1c-aaed-be59eda1ed91"/>
    <xsd:import namespace="fad85dfb-9af5-43b0-8087-e50f38d897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80707-63b2-4c1c-aaed-be59eda1ed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9fbd00-36ae-44bf-9005-58b5b98fdf6c}" ma:internalName="TaxCatchAll" ma:showField="CatchAllData" ma:web="2ab80707-63b2-4c1c-aaed-be59eda1ed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d85dfb-9af5-43b0-8087-e50f38d897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b3adfb-405a-416a-b104-419e99e214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TemplafyFormConfiguration><![CDATA[{"formFields":[],"formDataEntries":[]}]]></TemplafyFormConfiguration>
</file>

<file path=customXml/itemProps1.xml><?xml version="1.0" encoding="utf-8"?>
<ds:datastoreItem xmlns:ds="http://schemas.openxmlformats.org/officeDocument/2006/customXml" ds:itemID="{9D7D7B06-78C3-4B73-977F-BEB162DB08D5}">
  <ds:schemaRefs>
    <ds:schemaRef ds:uri="http://schemas.openxmlformats.org/officeDocument/2006/bibliography"/>
  </ds:schemaRefs>
</ds:datastoreItem>
</file>

<file path=customXml/itemProps2.xml><?xml version="1.0" encoding="utf-8"?>
<ds:datastoreItem xmlns:ds="http://schemas.openxmlformats.org/officeDocument/2006/customXml" ds:itemID="{F6001186-5E23-4F21-B4B0-47877FE390A0}">
  <ds:schemaRefs>
    <ds:schemaRef ds:uri="http://schemas.microsoft.com/office/2006/metadata/properties"/>
    <ds:schemaRef ds:uri="http://schemas.microsoft.com/office/infopath/2007/PartnerControls"/>
    <ds:schemaRef ds:uri="54b9a825-6653-4874-aa4e-75686cd34ded"/>
    <ds:schemaRef ds:uri="305c8cd7-09aa-4a77-8284-e77c22b9c015"/>
    <ds:schemaRef ds:uri="fad85dfb-9af5-43b0-8087-e50f38d89773"/>
    <ds:schemaRef ds:uri="2ab80707-63b2-4c1c-aaed-be59eda1ed91"/>
  </ds:schemaRefs>
</ds:datastoreItem>
</file>

<file path=customXml/itemProps3.xml><?xml version="1.0" encoding="utf-8"?>
<ds:datastoreItem xmlns:ds="http://schemas.openxmlformats.org/officeDocument/2006/customXml" ds:itemID="{FE4591D3-F607-4B2A-AFAA-BC00945A51A6}">
  <ds:schemaRefs/>
</ds:datastoreItem>
</file>

<file path=customXml/itemProps4.xml><?xml version="1.0" encoding="utf-8"?>
<ds:datastoreItem xmlns:ds="http://schemas.openxmlformats.org/officeDocument/2006/customXml" ds:itemID="{024F21BE-C9C8-4709-B439-ED4AC9B64E95}">
  <ds:schemaRefs>
    <ds:schemaRef ds:uri="http://www.imanage.com/work/xmlschema"/>
  </ds:schemaRefs>
</ds:datastoreItem>
</file>

<file path=customXml/itemProps5.xml><?xml version="1.0" encoding="utf-8"?>
<ds:datastoreItem xmlns:ds="http://schemas.openxmlformats.org/officeDocument/2006/customXml" ds:itemID="{FDFD6AFB-96AD-4274-8CDE-5DD3518092A2}">
  <ds:schemaRefs>
    <ds:schemaRef ds:uri="http://schemas.microsoft.com/sharepoint/v3/contenttype/forms"/>
  </ds:schemaRefs>
</ds:datastoreItem>
</file>

<file path=customXml/itemProps6.xml><?xml version="1.0" encoding="utf-8"?>
<ds:datastoreItem xmlns:ds="http://schemas.openxmlformats.org/officeDocument/2006/customXml" ds:itemID="{D34C6510-75F0-4CA5-9749-0F2013849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80707-63b2-4c1c-aaed-be59eda1ed91"/>
    <ds:schemaRef ds:uri="fad85dfb-9af5-43b0-8087-e50f38d89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A1D996E-66F6-45C3-BE1A-B5A84D8D0918}">
  <ds:schemaRefs/>
</ds:datastoreItem>
</file>

<file path=docProps/app.xml><?xml version="1.0" encoding="utf-8"?>
<Properties xmlns="http://schemas.openxmlformats.org/officeDocument/2006/extended-properties" xmlns:vt="http://schemas.openxmlformats.org/officeDocument/2006/docPropsVTypes">
  <Template>Corporate Finance Numbered Report Template</Template>
  <TotalTime>1</TotalTime>
  <Pages>11</Pages>
  <Words>2303</Words>
  <Characters>12966</Characters>
  <Application>Microsoft Office Word</Application>
  <DocSecurity>0</DocSecurity>
  <Lines>371</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Haines</dc:creator>
  <cp:keywords/>
  <dc:description/>
  <cp:lastModifiedBy>Tony Caldwell</cp:lastModifiedBy>
  <cp:revision>3</cp:revision>
  <dcterms:created xsi:type="dcterms:W3CDTF">2025-11-04T07:12:00Z</dcterms:created>
  <dcterms:modified xsi:type="dcterms:W3CDTF">2025-11-04T07:15:00Z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mooreaustralia</vt:lpwstr>
  </property>
  <property fmtid="{D5CDD505-2E9C-101B-9397-08002B2CF9AE}" pid="3" name="TemplafyTemplateId">
    <vt:lpwstr>637852469752333484</vt:lpwstr>
  </property>
  <property fmtid="{D5CDD505-2E9C-101B-9397-08002B2CF9AE}" pid="4" name="TemplafyUserProfileId">
    <vt:lpwstr>637846528080377932</vt:lpwstr>
  </property>
  <property fmtid="{D5CDD505-2E9C-101B-9397-08002B2CF9AE}" pid="5" name="TemplafyFromBlank">
    <vt:bool>false</vt:bool>
  </property>
  <property fmtid="{D5CDD505-2E9C-101B-9397-08002B2CF9AE}" pid="6" name="ContentTypeId">
    <vt:lpwstr>0x010100B20E1AD706B8CB48ADD21116926DDC74</vt:lpwstr>
  </property>
  <property fmtid="{D5CDD505-2E9C-101B-9397-08002B2CF9AE}" pid="7" name="MediaServiceImageTags">
    <vt:lpwstr/>
  </property>
  <property fmtid="{D5CDD505-2E9C-101B-9397-08002B2CF9AE}" pid="8" name="GrammarlyDocumentId">
    <vt:lpwstr>c9b2132e-f41e-429b-a690-e1fb9b851588</vt:lpwstr>
  </property>
</Properties>
</file>